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9A10F">
      <w:pPr>
        <w:snapToGrid w:val="0"/>
        <w:spacing w:line="320" w:lineRule="atLeast"/>
        <w:ind w:right="-63"/>
        <w:jc w:val="center"/>
        <w:rPr>
          <w:color w:val="000000" w:themeColor="text1"/>
          <w14:textFill>
            <w14:solidFill>
              <w14:schemeClr w14:val="tx1"/>
            </w14:solidFill>
          </w14:textFill>
        </w:rPr>
      </w:pPr>
      <w:bookmarkStart w:id="116" w:name="_GoBack"/>
      <w:bookmarkEnd w:id="116"/>
    </w:p>
    <w:p w14:paraId="0ECCCF20">
      <w:pPr>
        <w:snapToGrid w:val="0"/>
        <w:spacing w:line="320" w:lineRule="atLeast"/>
        <w:ind w:right="-63"/>
        <w:jc w:val="center"/>
        <w:rPr>
          <w:color w:val="000000" w:themeColor="text1"/>
          <w14:textFill>
            <w14:solidFill>
              <w14:schemeClr w14:val="tx1"/>
            </w14:solidFill>
          </w14:textFill>
        </w:rPr>
      </w:pPr>
    </w:p>
    <w:p w14:paraId="6226F268">
      <w:pPr>
        <w:spacing w:line="360" w:lineRule="auto"/>
        <w:jc w:val="center"/>
        <w:rPr>
          <w:rFonts w:hint="eastAsia" w:ascii="楷体_GB2312" w:hAnsi="宋体" w:eastAsia="楷体_GB2312"/>
          <w:b/>
          <w:bCs/>
          <w:sz w:val="52"/>
          <w:szCs w:val="52"/>
        </w:rPr>
      </w:pPr>
      <w:r>
        <w:rPr>
          <w:rFonts w:hint="eastAsia"/>
          <w:b/>
          <w:sz w:val="52"/>
          <w:szCs w:val="52"/>
        </w:rPr>
        <w:t>台州临港热电有限公司扩建项目工程</w:t>
      </w:r>
    </w:p>
    <w:p w14:paraId="6718AAEA">
      <w:pPr>
        <w:spacing w:line="360" w:lineRule="auto"/>
        <w:jc w:val="center"/>
        <w:rPr>
          <w:rFonts w:hint="eastAsia" w:ascii="宋体" w:hAnsi="宋体" w:eastAsia="宋体" w:cs="Times New Roman"/>
          <w:b/>
          <w:sz w:val="48"/>
          <w:szCs w:val="48"/>
        </w:rPr>
      </w:pPr>
      <w:r>
        <w:rPr>
          <w:rFonts w:ascii="宋体" w:hAnsi="宋体"/>
          <w:b/>
          <w:sz w:val="32"/>
          <w:szCs w:val="32"/>
        </w:rPr>
        <w:tab/>
      </w:r>
    </w:p>
    <w:p w14:paraId="6AB19764">
      <w:pPr>
        <w:spacing w:line="360" w:lineRule="auto"/>
        <w:jc w:val="center"/>
        <w:rPr>
          <w:rFonts w:hint="eastAsia"/>
          <w:b/>
          <w:sz w:val="48"/>
          <w:szCs w:val="48"/>
        </w:rPr>
      </w:pPr>
      <w:r>
        <w:rPr>
          <w:rFonts w:hint="eastAsia"/>
          <w:b/>
          <w:sz w:val="48"/>
          <w:szCs w:val="48"/>
        </w:rPr>
        <w:t>大屏幕系统及操作台</w:t>
      </w:r>
    </w:p>
    <w:p w14:paraId="004268A2">
      <w:pPr>
        <w:pStyle w:val="45"/>
        <w:snapToGrid w:val="0"/>
        <w:spacing w:line="360" w:lineRule="auto"/>
        <w:ind w:right="-62"/>
        <w:jc w:val="center"/>
        <w:rPr>
          <w:b w:val="0"/>
          <w:color w:val="000000" w:themeColor="text1"/>
          <w:sz w:val="48"/>
          <w:szCs w:val="48"/>
          <w14:textFill>
            <w14:solidFill>
              <w14:schemeClr w14:val="tx1"/>
            </w14:solidFill>
          </w14:textFill>
        </w:rPr>
      </w:pPr>
      <w:r>
        <w:rPr>
          <w:rFonts w:hint="eastAsia" w:ascii="宋体" w:hAnsi="宋体"/>
          <w:b/>
          <w:sz w:val="48"/>
          <w:szCs w:val="48"/>
        </w:rPr>
        <w:t>招标文件</w:t>
      </w:r>
    </w:p>
    <w:p w14:paraId="733EFA85">
      <w:pPr>
        <w:snapToGrid w:val="0"/>
        <w:spacing w:line="360" w:lineRule="auto"/>
        <w:ind w:right="-62"/>
        <w:jc w:val="both"/>
        <w:rPr>
          <w:b/>
          <w:color w:val="000000" w:themeColor="text1"/>
          <w:sz w:val="44"/>
          <w:szCs w:val="44"/>
          <w14:textFill>
            <w14:solidFill>
              <w14:schemeClr w14:val="tx1"/>
            </w14:solidFill>
          </w14:textFill>
        </w:rPr>
      </w:pPr>
    </w:p>
    <w:p w14:paraId="0E6A4E8D">
      <w:pPr>
        <w:snapToGrid w:val="0"/>
        <w:spacing w:line="360" w:lineRule="auto"/>
        <w:ind w:right="-62"/>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技术规范书</w:t>
      </w:r>
    </w:p>
    <w:p w14:paraId="51FE81FD">
      <w:pPr>
        <w:ind w:firstLine="3080" w:firstLineChars="1100"/>
        <w:jc w:val="both"/>
        <w:rPr>
          <w:rFonts w:hint="eastAsia" w:ascii="宋体" w:hAnsi="宋体" w:eastAsia="宋体" w:cs="宋体"/>
          <w:b w:val="0"/>
          <w:bCs/>
          <w:color w:val="000000" w:themeColor="text1"/>
          <w:sz w:val="28"/>
          <w:szCs w:val="28"/>
          <w:lang w:val="en-US" w:eastAsia="zh-CN"/>
          <w14:textFill>
            <w14:solidFill>
              <w14:schemeClr w14:val="tx1"/>
            </w14:solidFill>
          </w14:textFill>
        </w:rPr>
      </w:pPr>
    </w:p>
    <w:p w14:paraId="46189027">
      <w:pPr>
        <w:ind w:firstLine="3080" w:firstLineChars="1100"/>
        <w:jc w:val="both"/>
        <w:rPr>
          <w:rFonts w:hint="eastAsia" w:ascii="宋体" w:hAnsi="宋体" w:eastAsia="宋体" w:cs="宋体"/>
          <w:b w:val="0"/>
          <w:bCs/>
          <w:color w:val="000000" w:themeColor="text1"/>
          <w:sz w:val="28"/>
          <w:szCs w:val="28"/>
          <w:lang w:val="en-US" w:eastAsia="zh-CN"/>
          <w14:textFill>
            <w14:solidFill>
              <w14:schemeClr w14:val="tx1"/>
            </w14:solidFill>
          </w14:textFill>
        </w:rPr>
      </w:pPr>
    </w:p>
    <w:p w14:paraId="23FA3869">
      <w:pPr>
        <w:pStyle w:val="2"/>
        <w:rPr>
          <w:rFonts w:hint="eastAsia" w:ascii="宋体" w:hAnsi="宋体" w:eastAsia="宋体" w:cs="宋体"/>
          <w:b w:val="0"/>
          <w:bCs/>
          <w:color w:val="000000" w:themeColor="text1"/>
          <w:sz w:val="28"/>
          <w:szCs w:val="28"/>
          <w:lang w:val="en-US" w:eastAsia="zh-CN"/>
          <w14:textFill>
            <w14:solidFill>
              <w14:schemeClr w14:val="tx1"/>
            </w14:solidFill>
          </w14:textFill>
        </w:rPr>
      </w:pPr>
    </w:p>
    <w:p w14:paraId="2C3AB3F8">
      <w:pPr>
        <w:rPr>
          <w:rFonts w:hint="eastAsia" w:ascii="宋体" w:hAnsi="宋体" w:eastAsia="宋体" w:cs="宋体"/>
          <w:b w:val="0"/>
          <w:bCs/>
          <w:color w:val="000000" w:themeColor="text1"/>
          <w:sz w:val="28"/>
          <w:szCs w:val="28"/>
          <w:lang w:val="en-US" w:eastAsia="zh-CN"/>
          <w14:textFill>
            <w14:solidFill>
              <w14:schemeClr w14:val="tx1"/>
            </w14:solidFill>
          </w14:textFill>
        </w:rPr>
      </w:pPr>
    </w:p>
    <w:p w14:paraId="34CC0C8F">
      <w:pPr>
        <w:pStyle w:val="2"/>
        <w:rPr>
          <w:rFonts w:hint="eastAsia" w:ascii="宋体" w:hAnsi="宋体" w:eastAsia="宋体" w:cs="宋体"/>
          <w:b w:val="0"/>
          <w:bCs/>
          <w:color w:val="000000" w:themeColor="text1"/>
          <w:sz w:val="28"/>
          <w:szCs w:val="28"/>
          <w:lang w:val="en-US" w:eastAsia="zh-CN"/>
          <w14:textFill>
            <w14:solidFill>
              <w14:schemeClr w14:val="tx1"/>
            </w14:solidFill>
          </w14:textFill>
        </w:rPr>
      </w:pPr>
    </w:p>
    <w:p w14:paraId="232E8A1F">
      <w:pPr>
        <w:rPr>
          <w:rFonts w:hint="eastAsia"/>
          <w:lang w:val="en-US" w:eastAsia="zh-CN"/>
        </w:rPr>
      </w:pPr>
    </w:p>
    <w:p w14:paraId="5F419873">
      <w:pPr>
        <w:spacing w:line="360" w:lineRule="auto"/>
        <w:ind w:firstLine="2560" w:firstLineChars="800"/>
        <w:jc w:val="both"/>
        <w:rPr>
          <w:rFonts w:hint="default" w:ascii="宋体" w:hAnsi="宋体" w:eastAsia="宋体" w:cs="宋体"/>
          <w:bCs/>
          <w:sz w:val="32"/>
          <w:szCs w:val="32"/>
          <w:lang w:val="en-US" w:eastAsia="zh-CN"/>
        </w:rPr>
      </w:pPr>
      <w:r>
        <w:rPr>
          <w:rFonts w:hint="eastAsia" w:ascii="宋体" w:hAnsi="宋体" w:eastAsia="宋体" w:cs="宋体"/>
          <w:b w:val="0"/>
          <w:bCs/>
          <w:color w:val="000000" w:themeColor="text1"/>
          <w:sz w:val="32"/>
          <w:szCs w:val="32"/>
          <w:lang w:val="en-US" w:eastAsia="zh-CN"/>
          <w14:textFill>
            <w14:solidFill>
              <w14:schemeClr w14:val="tx1"/>
            </w14:solidFill>
          </w14:textFill>
        </w:rPr>
        <w:t>编制：</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p>
    <w:p w14:paraId="77719BB8">
      <w:pPr>
        <w:spacing w:line="360" w:lineRule="auto"/>
        <w:ind w:firstLine="2560" w:firstLineChars="800"/>
        <w:jc w:val="both"/>
        <w:rPr>
          <w:rFonts w:hint="default" w:ascii="宋体" w:hAnsi="宋体" w:eastAsia="宋体" w:cs="宋体"/>
          <w:b w:val="0"/>
          <w:bCs/>
          <w:color w:val="000000" w:themeColor="text1"/>
          <w:sz w:val="32"/>
          <w:szCs w:val="32"/>
          <w:lang w:val="en-US" w:eastAsia="zh-CN"/>
          <w14:textFill>
            <w14:solidFill>
              <w14:schemeClr w14:val="tx1"/>
            </w14:solidFill>
          </w14:textFill>
        </w:rPr>
      </w:pPr>
      <w:r>
        <w:rPr>
          <w:rFonts w:hint="eastAsia" w:ascii="宋体" w:hAnsi="宋体" w:eastAsia="宋体" w:cs="宋体"/>
          <w:b w:val="0"/>
          <w:bCs/>
          <w:color w:val="000000" w:themeColor="text1"/>
          <w:sz w:val="32"/>
          <w:szCs w:val="32"/>
          <w:lang w:val="en-US" w:eastAsia="zh-CN"/>
          <w14:textFill>
            <w14:solidFill>
              <w14:schemeClr w14:val="tx1"/>
            </w14:solidFill>
          </w14:textFill>
        </w:rPr>
        <w:t>审核：</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r>
        <w:rPr>
          <w:rFonts w:hint="eastAsia" w:ascii="宋体" w:hAnsi="宋体" w:cs="宋体"/>
          <w:b w:val="0"/>
          <w:bCs/>
          <w:color w:val="000000" w:themeColor="text1"/>
          <w:sz w:val="32"/>
          <w:szCs w:val="32"/>
          <w:u w:val="single"/>
          <w:lang w:val="en-US" w:eastAsia="zh-CN"/>
          <w14:textFill>
            <w14:solidFill>
              <w14:schemeClr w14:val="tx1"/>
            </w14:solidFill>
          </w14:textFill>
        </w:rPr>
        <w:t xml:space="preserve">     </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p>
    <w:p w14:paraId="38F99CC4">
      <w:pPr>
        <w:pStyle w:val="2"/>
        <w:spacing w:line="360" w:lineRule="auto"/>
        <w:ind w:firstLine="2560" w:firstLineChars="800"/>
        <w:jc w:val="both"/>
        <w:rPr>
          <w:rFonts w:hint="default" w:ascii="宋体" w:hAnsi="宋体" w:eastAsia="宋体" w:cs="宋体"/>
          <w:bCs/>
          <w:sz w:val="32"/>
          <w:szCs w:val="32"/>
          <w:lang w:val="en-US" w:eastAsia="zh-CN"/>
        </w:rPr>
      </w:pPr>
      <w:r>
        <w:rPr>
          <w:rFonts w:hint="eastAsia" w:ascii="宋体" w:hAnsi="宋体" w:eastAsia="宋体" w:cs="宋体"/>
          <w:bCs/>
          <w:sz w:val="32"/>
          <w:szCs w:val="32"/>
          <w:lang w:val="en-US" w:eastAsia="zh-CN"/>
        </w:rPr>
        <w:t>核定：</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p>
    <w:p w14:paraId="0E9CC2D4">
      <w:pPr>
        <w:spacing w:line="360" w:lineRule="auto"/>
        <w:ind w:firstLine="2560" w:firstLineChars="800"/>
        <w:jc w:val="both"/>
        <w:rPr>
          <w:b/>
          <w:color w:val="000000" w:themeColor="text1"/>
          <w:sz w:val="48"/>
          <w14:textFill>
            <w14:solidFill>
              <w14:schemeClr w14:val="tx1"/>
            </w14:solidFill>
          </w14:textFill>
        </w:rPr>
      </w:pPr>
      <w:r>
        <w:rPr>
          <w:rFonts w:hint="eastAsia" w:ascii="宋体" w:hAnsi="宋体" w:eastAsia="宋体" w:cs="宋体"/>
          <w:bCs/>
          <w:sz w:val="32"/>
          <w:szCs w:val="32"/>
          <w:lang w:val="en-US" w:eastAsia="zh-CN"/>
        </w:rPr>
        <w:t>批准：</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r>
        <w:rPr>
          <w:rFonts w:hint="eastAsia" w:ascii="宋体" w:hAnsi="宋体" w:cs="宋体"/>
          <w:b w:val="0"/>
          <w:bCs/>
          <w:color w:val="000000" w:themeColor="text1"/>
          <w:sz w:val="32"/>
          <w:szCs w:val="32"/>
          <w:u w:val="single"/>
          <w:lang w:val="en-US" w:eastAsia="zh-CN"/>
          <w14:textFill>
            <w14:solidFill>
              <w14:schemeClr w14:val="tx1"/>
            </w14:solidFill>
          </w14:textFill>
        </w:rPr>
        <w:t xml:space="preserve">     </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 xml:space="preserve">     </w:t>
      </w:r>
    </w:p>
    <w:p w14:paraId="58AB9530">
      <w:pPr>
        <w:pStyle w:val="46"/>
        <w:jc w:val="both"/>
        <w:rPr>
          <w:rFonts w:ascii="宋体" w:hAnsi="宋体"/>
          <w:color w:val="000000" w:themeColor="text1"/>
          <w:sz w:val="44"/>
          <w:szCs w:val="44"/>
          <w14:textFill>
            <w14:solidFill>
              <w14:schemeClr w14:val="tx1"/>
            </w14:solidFill>
          </w14:textFill>
        </w:rPr>
      </w:pPr>
    </w:p>
    <w:p w14:paraId="1C325AAE">
      <w:pPr>
        <w:pStyle w:val="46"/>
        <w:rPr>
          <w:rFonts w:ascii="宋体" w:hAnsi="宋体"/>
          <w:color w:val="000000" w:themeColor="text1"/>
          <w:sz w:val="44"/>
          <w:szCs w:val="44"/>
          <w14:textFill>
            <w14:solidFill>
              <w14:schemeClr w14:val="tx1"/>
            </w14:solidFill>
          </w14:textFill>
        </w:rPr>
        <w:sectPr>
          <w:pgSz w:w="12240" w:h="15840"/>
          <w:pgMar w:top="1440" w:right="1800" w:bottom="1440" w:left="1800" w:header="720" w:footer="720" w:gutter="0"/>
          <w:cols w:space="720" w:num="1"/>
        </w:sectPr>
      </w:pPr>
      <w:r>
        <w:rPr>
          <w:rFonts w:ascii="宋体" w:hAnsi="宋体"/>
          <w:color w:val="000000" w:themeColor="text1"/>
          <w:sz w:val="44"/>
          <w:szCs w:val="44"/>
          <w14:textFill>
            <w14:solidFill>
              <w14:schemeClr w14:val="tx1"/>
            </w14:solidFill>
          </w14:textFill>
        </w:rPr>
        <w:t>202</w:t>
      </w:r>
      <w:r>
        <w:rPr>
          <w:rFonts w:hint="eastAsia" w:ascii="宋体" w:hAnsi="宋体"/>
          <w:color w:val="000000" w:themeColor="text1"/>
          <w:sz w:val="44"/>
          <w:szCs w:val="44"/>
          <w:lang w:val="en-US" w:eastAsia="zh-CN"/>
          <w14:textFill>
            <w14:solidFill>
              <w14:schemeClr w14:val="tx1"/>
            </w14:solidFill>
          </w14:textFill>
        </w:rPr>
        <w:t>6</w:t>
      </w:r>
      <w:r>
        <w:rPr>
          <w:rFonts w:ascii="宋体" w:hAnsi="宋体"/>
          <w:color w:val="000000" w:themeColor="text1"/>
          <w:sz w:val="44"/>
          <w:szCs w:val="44"/>
          <w14:textFill>
            <w14:solidFill>
              <w14:schemeClr w14:val="tx1"/>
            </w14:solidFill>
          </w14:textFill>
        </w:rPr>
        <w:t>年</w:t>
      </w:r>
      <w:r>
        <w:rPr>
          <w:rFonts w:hint="eastAsia" w:ascii="宋体" w:hAnsi="宋体"/>
          <w:color w:val="000000" w:themeColor="text1"/>
          <w:sz w:val="44"/>
          <w:szCs w:val="44"/>
          <w:lang w:val="en-US" w:eastAsia="zh-CN"/>
          <w14:textFill>
            <w14:solidFill>
              <w14:schemeClr w14:val="tx1"/>
            </w14:solidFill>
          </w14:textFill>
        </w:rPr>
        <w:t>06</w:t>
      </w:r>
      <w:r>
        <w:rPr>
          <w:rFonts w:ascii="宋体" w:hAnsi="宋体"/>
          <w:color w:val="000000" w:themeColor="text1"/>
          <w:sz w:val="44"/>
          <w:szCs w:val="44"/>
          <w14:textFill>
            <w14:solidFill>
              <w14:schemeClr w14:val="tx1"/>
            </w14:solidFill>
          </w14:textFill>
        </w:rPr>
        <w:t>月</w:t>
      </w:r>
    </w:p>
    <w:p w14:paraId="0EBA878B">
      <w:pPr>
        <w:spacing w:before="156" w:beforeLines="50" w:after="312" w:afterLines="100" w:line="360" w:lineRule="auto"/>
        <w:jc w:val="center"/>
        <w:rPr>
          <w:b/>
          <w:color w:val="000000" w:themeColor="text1"/>
          <w:spacing w:val="5"/>
          <w:sz w:val="30"/>
          <w14:textFill>
            <w14:solidFill>
              <w14:schemeClr w14:val="tx1"/>
            </w14:solidFill>
          </w14:textFill>
        </w:rPr>
      </w:pPr>
      <w:r>
        <w:rPr>
          <w:rFonts w:hint="eastAsia"/>
          <w:b/>
          <w:color w:val="000000" w:themeColor="text1"/>
          <w:spacing w:val="5"/>
          <w:sz w:val="30"/>
          <w14:textFill>
            <w14:solidFill>
              <w14:schemeClr w14:val="tx1"/>
            </w14:solidFill>
          </w14:textFill>
        </w:rPr>
        <w:t>目录</w:t>
      </w:r>
    </w:p>
    <w:p w14:paraId="45CB070B">
      <w:pPr>
        <w:pStyle w:val="23"/>
        <w:tabs>
          <w:tab w:val="right" w:leader="dot" w:pos="9241"/>
        </w:tabs>
        <w:spacing w:beforeLines="0" w:afterLines="0" w:line="360" w:lineRule="auto"/>
        <w:rPr>
          <w:sz w:val="28"/>
          <w:szCs w:val="28"/>
        </w:rPr>
      </w:pPr>
      <w:r>
        <w:rPr>
          <w:rFonts w:ascii="Arial" w:hAnsi="Arial"/>
          <w:b/>
          <w:bCs/>
          <w:caps/>
          <w:color w:val="000000" w:themeColor="text1"/>
          <w:kern w:val="0"/>
          <w:sz w:val="28"/>
          <w:szCs w:val="28"/>
          <w14:textFill>
            <w14:solidFill>
              <w14:schemeClr w14:val="tx1"/>
            </w14:solidFill>
          </w14:textFill>
        </w:rPr>
        <w:fldChar w:fldCharType="begin"/>
      </w:r>
      <w:r>
        <w:rPr>
          <w:rFonts w:ascii="Arial" w:hAnsi="Arial"/>
          <w:b/>
          <w:bCs/>
          <w:caps/>
          <w:color w:val="000000" w:themeColor="text1"/>
          <w:kern w:val="0"/>
          <w:sz w:val="28"/>
          <w:szCs w:val="28"/>
          <w14:textFill>
            <w14:solidFill>
              <w14:schemeClr w14:val="tx1"/>
            </w14:solidFill>
          </w14:textFill>
        </w:rPr>
        <w:instrText xml:space="preserve"> TOC \o "1-2" \h \z \u </w:instrText>
      </w:r>
      <w:r>
        <w:rPr>
          <w:rFonts w:ascii="Arial" w:hAnsi="Arial"/>
          <w:b/>
          <w:bCs/>
          <w:caps/>
          <w:color w:val="000000" w:themeColor="text1"/>
          <w:kern w:val="0"/>
          <w:sz w:val="28"/>
          <w:szCs w:val="28"/>
          <w14:textFill>
            <w14:solidFill>
              <w14:schemeClr w14:val="tx1"/>
            </w14:solidFill>
          </w14:textFill>
        </w:rPr>
        <w:fldChar w:fldCharType="separate"/>
      </w: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_Toc7480 </w:instrText>
      </w:r>
      <w:r>
        <w:rPr>
          <w:rFonts w:ascii="Arial" w:hAnsi="Arial"/>
          <w:bCs/>
          <w:caps/>
          <w:kern w:val="0"/>
          <w:sz w:val="28"/>
          <w:szCs w:val="28"/>
        </w:rPr>
        <w:fldChar w:fldCharType="separate"/>
      </w:r>
      <w:r>
        <w:rPr>
          <w:rFonts w:hint="eastAsia"/>
          <w:sz w:val="28"/>
          <w:szCs w:val="28"/>
        </w:rPr>
        <w:t>附件</w:t>
      </w:r>
      <w:r>
        <w:rPr>
          <w:sz w:val="28"/>
          <w:szCs w:val="28"/>
        </w:rPr>
        <w:t xml:space="preserve">1 </w:t>
      </w:r>
      <w:r>
        <w:rPr>
          <w:rFonts w:hint="eastAsia"/>
          <w:sz w:val="28"/>
          <w:szCs w:val="28"/>
        </w:rPr>
        <w:t>技术规范</w:t>
      </w:r>
      <w:r>
        <w:rPr>
          <w:sz w:val="28"/>
          <w:szCs w:val="28"/>
        </w:rPr>
        <w:tab/>
      </w:r>
      <w:r>
        <w:rPr>
          <w:sz w:val="28"/>
          <w:szCs w:val="28"/>
        </w:rPr>
        <w:fldChar w:fldCharType="begin"/>
      </w:r>
      <w:r>
        <w:rPr>
          <w:sz w:val="28"/>
          <w:szCs w:val="28"/>
        </w:rPr>
        <w:instrText xml:space="preserve"> PAGEREF _Toc7480 \h </w:instrText>
      </w:r>
      <w:r>
        <w:rPr>
          <w:sz w:val="28"/>
          <w:szCs w:val="28"/>
        </w:rPr>
        <w:fldChar w:fldCharType="separate"/>
      </w:r>
      <w:r>
        <w:rPr>
          <w:sz w:val="28"/>
          <w:szCs w:val="28"/>
        </w:rPr>
        <w:t>2</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3FEFD10C">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_Toc7154 </w:instrText>
      </w:r>
      <w:r>
        <w:rPr>
          <w:rFonts w:ascii="Arial" w:hAnsi="Arial"/>
          <w:bCs/>
          <w:caps/>
          <w:kern w:val="0"/>
          <w:sz w:val="28"/>
          <w:szCs w:val="28"/>
        </w:rPr>
        <w:fldChar w:fldCharType="separate"/>
      </w:r>
      <w:r>
        <w:rPr>
          <w:rFonts w:hint="default" w:ascii="Times New Roman" w:hAnsi="Times New Roman" w:eastAsia="宋体" w:cs="Times New Roman"/>
          <w:kern w:val="0"/>
          <w:sz w:val="28"/>
          <w:szCs w:val="28"/>
          <w:lang w:val="en-US" w:eastAsia="zh-CN" w:bidi="ar-SA"/>
        </w:rPr>
        <w:t>1</w:t>
      </w:r>
      <w:r>
        <w:rPr>
          <w:rFonts w:hint="eastAsia"/>
          <w:sz w:val="28"/>
          <w:szCs w:val="28"/>
        </w:rPr>
        <w:t>范围</w:t>
      </w:r>
      <w:r>
        <w:rPr>
          <w:sz w:val="28"/>
          <w:szCs w:val="28"/>
        </w:rPr>
        <w:tab/>
      </w:r>
      <w:r>
        <w:rPr>
          <w:sz w:val="28"/>
          <w:szCs w:val="28"/>
        </w:rPr>
        <w:fldChar w:fldCharType="begin"/>
      </w:r>
      <w:r>
        <w:rPr>
          <w:sz w:val="28"/>
          <w:szCs w:val="28"/>
        </w:rPr>
        <w:instrText xml:space="preserve"> PAGEREF _Toc7154 \h </w:instrText>
      </w:r>
      <w:r>
        <w:rPr>
          <w:sz w:val="28"/>
          <w:szCs w:val="28"/>
        </w:rPr>
        <w:fldChar w:fldCharType="separate"/>
      </w:r>
      <w:r>
        <w:rPr>
          <w:sz w:val="28"/>
          <w:szCs w:val="28"/>
        </w:rPr>
        <w:t>2</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1890AE32">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_Toc8484 </w:instrText>
      </w:r>
      <w:r>
        <w:rPr>
          <w:rFonts w:ascii="Arial" w:hAnsi="Arial"/>
          <w:bCs/>
          <w:caps/>
          <w:kern w:val="0"/>
          <w:sz w:val="28"/>
          <w:szCs w:val="28"/>
        </w:rPr>
        <w:fldChar w:fldCharType="separate"/>
      </w:r>
      <w:r>
        <w:rPr>
          <w:rFonts w:hint="default" w:ascii="Times New Roman" w:hAnsi="Times New Roman" w:eastAsia="宋体" w:cs="Times New Roman"/>
          <w:kern w:val="0"/>
          <w:sz w:val="28"/>
          <w:szCs w:val="28"/>
          <w:lang w:val="en-US" w:eastAsia="zh-CN" w:bidi="ar-SA"/>
        </w:rPr>
        <w:t>2</w:t>
      </w:r>
      <w:r>
        <w:rPr>
          <w:rFonts w:hint="eastAsia"/>
          <w:sz w:val="28"/>
          <w:szCs w:val="28"/>
        </w:rPr>
        <w:t>工程概况</w:t>
      </w:r>
      <w:r>
        <w:rPr>
          <w:sz w:val="28"/>
          <w:szCs w:val="28"/>
        </w:rPr>
        <w:tab/>
      </w:r>
      <w:r>
        <w:rPr>
          <w:sz w:val="28"/>
          <w:szCs w:val="28"/>
        </w:rPr>
        <w:fldChar w:fldCharType="begin"/>
      </w:r>
      <w:r>
        <w:rPr>
          <w:sz w:val="28"/>
          <w:szCs w:val="28"/>
        </w:rPr>
        <w:instrText xml:space="preserve"> PAGEREF _Toc8484 \h </w:instrText>
      </w:r>
      <w:r>
        <w:rPr>
          <w:sz w:val="28"/>
          <w:szCs w:val="28"/>
        </w:rPr>
        <w:fldChar w:fldCharType="separate"/>
      </w:r>
      <w:r>
        <w:rPr>
          <w:sz w:val="28"/>
          <w:szCs w:val="28"/>
        </w:rPr>
        <w:t>4</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120F668D">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_Toc13469 </w:instrText>
      </w:r>
      <w:r>
        <w:rPr>
          <w:rFonts w:ascii="Arial" w:hAnsi="Arial"/>
          <w:bCs/>
          <w:caps/>
          <w:kern w:val="0"/>
          <w:sz w:val="28"/>
          <w:szCs w:val="28"/>
        </w:rPr>
        <w:fldChar w:fldCharType="separate"/>
      </w:r>
      <w:r>
        <w:rPr>
          <w:rFonts w:hint="default" w:ascii="Times New Roman" w:hAnsi="Times New Roman" w:eastAsia="宋体" w:cs="Times New Roman"/>
          <w:kern w:val="0"/>
          <w:sz w:val="28"/>
          <w:szCs w:val="28"/>
          <w:lang w:val="en-US" w:eastAsia="zh-CN" w:bidi="ar-SA"/>
        </w:rPr>
        <w:t>3</w:t>
      </w:r>
      <w:r>
        <w:rPr>
          <w:rFonts w:hint="eastAsia"/>
          <w:sz w:val="28"/>
          <w:szCs w:val="28"/>
        </w:rPr>
        <w:t>规范和标准</w:t>
      </w:r>
      <w:r>
        <w:rPr>
          <w:sz w:val="28"/>
          <w:szCs w:val="28"/>
        </w:rPr>
        <w:tab/>
      </w:r>
      <w:r>
        <w:rPr>
          <w:sz w:val="28"/>
          <w:szCs w:val="28"/>
        </w:rPr>
        <w:fldChar w:fldCharType="begin"/>
      </w:r>
      <w:r>
        <w:rPr>
          <w:sz w:val="28"/>
          <w:szCs w:val="28"/>
        </w:rPr>
        <w:instrText xml:space="preserve"> PAGEREF _Toc13469 \h </w:instrText>
      </w:r>
      <w:r>
        <w:rPr>
          <w:sz w:val="28"/>
          <w:szCs w:val="28"/>
        </w:rPr>
        <w:fldChar w:fldCharType="separate"/>
      </w:r>
      <w:r>
        <w:rPr>
          <w:sz w:val="28"/>
          <w:szCs w:val="28"/>
        </w:rPr>
        <w:t>5</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68F8FE5D">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_Toc23411 </w:instrText>
      </w:r>
      <w:r>
        <w:rPr>
          <w:rFonts w:ascii="Arial" w:hAnsi="Arial"/>
          <w:bCs/>
          <w:caps/>
          <w:kern w:val="0"/>
          <w:sz w:val="28"/>
          <w:szCs w:val="28"/>
        </w:rPr>
        <w:fldChar w:fldCharType="separate"/>
      </w:r>
      <w:r>
        <w:rPr>
          <w:rFonts w:hint="default" w:ascii="Times New Roman" w:hAnsi="Times New Roman" w:eastAsia="宋体" w:cs="Times New Roman"/>
          <w:kern w:val="0"/>
          <w:sz w:val="28"/>
          <w:szCs w:val="28"/>
          <w:lang w:val="en-US" w:eastAsia="zh-CN" w:bidi="ar-SA"/>
        </w:rPr>
        <w:t>4</w:t>
      </w:r>
      <w:r>
        <w:rPr>
          <w:rFonts w:hint="eastAsia"/>
          <w:sz w:val="28"/>
          <w:szCs w:val="28"/>
        </w:rPr>
        <w:t>技术要求</w:t>
      </w:r>
      <w:r>
        <w:rPr>
          <w:sz w:val="28"/>
          <w:szCs w:val="28"/>
        </w:rPr>
        <w:tab/>
      </w:r>
      <w:r>
        <w:rPr>
          <w:sz w:val="28"/>
          <w:szCs w:val="28"/>
        </w:rPr>
        <w:fldChar w:fldCharType="begin"/>
      </w:r>
      <w:r>
        <w:rPr>
          <w:sz w:val="28"/>
          <w:szCs w:val="28"/>
        </w:rPr>
        <w:instrText xml:space="preserve"> PAGEREF _Toc23411 \h </w:instrText>
      </w:r>
      <w:r>
        <w:rPr>
          <w:sz w:val="28"/>
          <w:szCs w:val="28"/>
        </w:rPr>
        <w:fldChar w:fldCharType="separate"/>
      </w:r>
      <w:r>
        <w:rPr>
          <w:sz w:val="28"/>
          <w:szCs w:val="28"/>
        </w:rPr>
        <w:t>6</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2B024691">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_Toc9182 </w:instrText>
      </w:r>
      <w:r>
        <w:rPr>
          <w:rFonts w:ascii="Arial" w:hAnsi="Arial"/>
          <w:bCs/>
          <w:caps/>
          <w:kern w:val="0"/>
          <w:sz w:val="28"/>
          <w:szCs w:val="28"/>
        </w:rPr>
        <w:fldChar w:fldCharType="separate"/>
      </w:r>
      <w:r>
        <w:rPr>
          <w:rFonts w:hint="eastAsia"/>
          <w:sz w:val="28"/>
          <w:szCs w:val="28"/>
        </w:rPr>
        <w:t>附件</w:t>
      </w:r>
      <w:r>
        <w:rPr>
          <w:sz w:val="28"/>
          <w:szCs w:val="28"/>
        </w:rPr>
        <w:t>2</w:t>
      </w:r>
      <w:r>
        <w:rPr>
          <w:rFonts w:hint="eastAsia"/>
          <w:sz w:val="28"/>
          <w:szCs w:val="28"/>
        </w:rPr>
        <w:t>供货范围</w:t>
      </w:r>
      <w:r>
        <w:rPr>
          <w:sz w:val="28"/>
          <w:szCs w:val="28"/>
        </w:rPr>
        <w:tab/>
      </w:r>
      <w:r>
        <w:rPr>
          <w:sz w:val="28"/>
          <w:szCs w:val="28"/>
        </w:rPr>
        <w:fldChar w:fldCharType="begin"/>
      </w:r>
      <w:r>
        <w:rPr>
          <w:sz w:val="28"/>
          <w:szCs w:val="28"/>
        </w:rPr>
        <w:instrText xml:space="preserve"> PAGEREF _Toc9182 \h </w:instrText>
      </w:r>
      <w:r>
        <w:rPr>
          <w:sz w:val="28"/>
          <w:szCs w:val="28"/>
        </w:rPr>
        <w:fldChar w:fldCharType="separate"/>
      </w:r>
      <w:r>
        <w:rPr>
          <w:sz w:val="28"/>
          <w:szCs w:val="28"/>
        </w:rPr>
        <w:t>21</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2CC57630">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_Toc12737 </w:instrText>
      </w:r>
      <w:r>
        <w:rPr>
          <w:rFonts w:ascii="Arial" w:hAnsi="Arial"/>
          <w:bCs/>
          <w:caps/>
          <w:kern w:val="0"/>
          <w:sz w:val="28"/>
          <w:szCs w:val="28"/>
        </w:rPr>
        <w:fldChar w:fldCharType="separate"/>
      </w:r>
      <w:r>
        <w:rPr>
          <w:sz w:val="28"/>
          <w:szCs w:val="28"/>
        </w:rPr>
        <w:t xml:space="preserve">1 </w:t>
      </w:r>
      <w:r>
        <w:rPr>
          <w:rFonts w:hint="eastAsia"/>
          <w:sz w:val="28"/>
          <w:szCs w:val="28"/>
        </w:rPr>
        <w:t>一般要求</w:t>
      </w:r>
      <w:r>
        <w:rPr>
          <w:sz w:val="28"/>
          <w:szCs w:val="28"/>
        </w:rPr>
        <w:tab/>
      </w:r>
      <w:r>
        <w:rPr>
          <w:sz w:val="28"/>
          <w:szCs w:val="28"/>
        </w:rPr>
        <w:fldChar w:fldCharType="begin"/>
      </w:r>
      <w:r>
        <w:rPr>
          <w:sz w:val="28"/>
          <w:szCs w:val="28"/>
        </w:rPr>
        <w:instrText xml:space="preserve"> PAGEREF _Toc12737 \h </w:instrText>
      </w:r>
      <w:r>
        <w:rPr>
          <w:sz w:val="28"/>
          <w:szCs w:val="28"/>
        </w:rPr>
        <w:fldChar w:fldCharType="separate"/>
      </w:r>
      <w:r>
        <w:rPr>
          <w:sz w:val="28"/>
          <w:szCs w:val="28"/>
        </w:rPr>
        <w:t>21</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29F16316">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_Toc14557 </w:instrText>
      </w:r>
      <w:r>
        <w:rPr>
          <w:rFonts w:ascii="Arial" w:hAnsi="Arial"/>
          <w:bCs/>
          <w:caps/>
          <w:kern w:val="0"/>
          <w:sz w:val="28"/>
          <w:szCs w:val="28"/>
        </w:rPr>
        <w:fldChar w:fldCharType="separate"/>
      </w:r>
      <w:r>
        <w:rPr>
          <w:sz w:val="28"/>
          <w:szCs w:val="28"/>
        </w:rPr>
        <w:t xml:space="preserve">2 </w:t>
      </w:r>
      <w:r>
        <w:rPr>
          <w:rFonts w:hint="eastAsia"/>
          <w:sz w:val="28"/>
          <w:szCs w:val="28"/>
        </w:rPr>
        <w:t>供货范围</w:t>
      </w:r>
      <w:r>
        <w:rPr>
          <w:sz w:val="28"/>
          <w:szCs w:val="28"/>
        </w:rPr>
        <w:tab/>
      </w:r>
      <w:r>
        <w:rPr>
          <w:sz w:val="28"/>
          <w:szCs w:val="28"/>
        </w:rPr>
        <w:fldChar w:fldCharType="begin"/>
      </w:r>
      <w:r>
        <w:rPr>
          <w:sz w:val="28"/>
          <w:szCs w:val="28"/>
        </w:rPr>
        <w:instrText xml:space="preserve"> PAGEREF _Toc14557 \h </w:instrText>
      </w:r>
      <w:r>
        <w:rPr>
          <w:sz w:val="28"/>
          <w:szCs w:val="28"/>
        </w:rPr>
        <w:fldChar w:fldCharType="separate"/>
      </w:r>
      <w:r>
        <w:rPr>
          <w:sz w:val="28"/>
          <w:szCs w:val="28"/>
        </w:rPr>
        <w:t>21</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349FB6AC">
      <w:pPr>
        <w:pStyle w:val="24"/>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_Toc7851 </w:instrText>
      </w:r>
      <w:r>
        <w:rPr>
          <w:rFonts w:ascii="Arial" w:hAnsi="Arial"/>
          <w:bCs/>
          <w:caps/>
          <w:kern w:val="0"/>
          <w:sz w:val="28"/>
          <w:szCs w:val="28"/>
        </w:rPr>
        <w:fldChar w:fldCharType="separate"/>
      </w:r>
      <w:r>
        <w:rPr>
          <w:sz w:val="28"/>
          <w:szCs w:val="28"/>
        </w:rPr>
        <w:t xml:space="preserve">3 </w:t>
      </w:r>
      <w:r>
        <w:rPr>
          <w:rFonts w:hint="eastAsia"/>
          <w:sz w:val="28"/>
          <w:szCs w:val="28"/>
        </w:rPr>
        <w:t>备品备件</w:t>
      </w:r>
      <w:r>
        <w:rPr>
          <w:sz w:val="28"/>
          <w:szCs w:val="28"/>
        </w:rPr>
        <w:tab/>
      </w:r>
      <w:r>
        <w:rPr>
          <w:sz w:val="28"/>
          <w:szCs w:val="28"/>
        </w:rPr>
        <w:fldChar w:fldCharType="begin"/>
      </w:r>
      <w:r>
        <w:rPr>
          <w:sz w:val="28"/>
          <w:szCs w:val="28"/>
        </w:rPr>
        <w:instrText xml:space="preserve"> PAGEREF _Toc7851 \h </w:instrText>
      </w:r>
      <w:r>
        <w:rPr>
          <w:sz w:val="28"/>
          <w:szCs w:val="28"/>
        </w:rPr>
        <w:fldChar w:fldCharType="separate"/>
      </w:r>
      <w:r>
        <w:rPr>
          <w:sz w:val="28"/>
          <w:szCs w:val="28"/>
        </w:rPr>
        <w:t>23</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7182E85B">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_Toc5004 </w:instrText>
      </w:r>
      <w:r>
        <w:rPr>
          <w:rFonts w:ascii="Arial" w:hAnsi="Arial"/>
          <w:bCs/>
          <w:caps/>
          <w:kern w:val="0"/>
          <w:sz w:val="28"/>
          <w:szCs w:val="28"/>
        </w:rPr>
        <w:fldChar w:fldCharType="separate"/>
      </w:r>
      <w:r>
        <w:rPr>
          <w:rFonts w:hint="eastAsia"/>
          <w:sz w:val="28"/>
          <w:szCs w:val="28"/>
        </w:rPr>
        <w:t>附件</w:t>
      </w:r>
      <w:r>
        <w:rPr>
          <w:sz w:val="28"/>
          <w:szCs w:val="28"/>
        </w:rPr>
        <w:t>3</w:t>
      </w:r>
      <w:r>
        <w:rPr>
          <w:rFonts w:hint="eastAsia"/>
          <w:sz w:val="28"/>
          <w:szCs w:val="28"/>
        </w:rPr>
        <w:t>技术文件和资料</w:t>
      </w:r>
      <w:r>
        <w:rPr>
          <w:sz w:val="28"/>
          <w:szCs w:val="28"/>
        </w:rPr>
        <w:tab/>
      </w:r>
      <w:r>
        <w:rPr>
          <w:sz w:val="28"/>
          <w:szCs w:val="28"/>
        </w:rPr>
        <w:fldChar w:fldCharType="begin"/>
      </w:r>
      <w:r>
        <w:rPr>
          <w:sz w:val="28"/>
          <w:szCs w:val="28"/>
        </w:rPr>
        <w:instrText xml:space="preserve"> PAGEREF _Toc5004 \h </w:instrText>
      </w:r>
      <w:r>
        <w:rPr>
          <w:sz w:val="28"/>
          <w:szCs w:val="28"/>
        </w:rPr>
        <w:fldChar w:fldCharType="separate"/>
      </w:r>
      <w:r>
        <w:rPr>
          <w:sz w:val="28"/>
          <w:szCs w:val="28"/>
        </w:rPr>
        <w:t>25</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2FA8A571">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_Toc15102 </w:instrText>
      </w:r>
      <w:r>
        <w:rPr>
          <w:rFonts w:ascii="Arial" w:hAnsi="Arial"/>
          <w:bCs/>
          <w:caps/>
          <w:kern w:val="0"/>
          <w:sz w:val="28"/>
          <w:szCs w:val="28"/>
        </w:rPr>
        <w:fldChar w:fldCharType="separate"/>
      </w:r>
      <w:r>
        <w:rPr>
          <w:rFonts w:hint="eastAsia"/>
          <w:sz w:val="28"/>
          <w:szCs w:val="28"/>
        </w:rPr>
        <w:t>附件</w:t>
      </w:r>
      <w:r>
        <w:rPr>
          <w:sz w:val="28"/>
          <w:szCs w:val="28"/>
        </w:rPr>
        <w:t>4</w:t>
      </w:r>
      <w:r>
        <w:rPr>
          <w:rFonts w:hint="eastAsia"/>
          <w:sz w:val="28"/>
          <w:szCs w:val="28"/>
        </w:rPr>
        <w:t>质量保证和试验</w:t>
      </w:r>
      <w:r>
        <w:rPr>
          <w:sz w:val="28"/>
          <w:szCs w:val="28"/>
        </w:rPr>
        <w:tab/>
      </w:r>
      <w:r>
        <w:rPr>
          <w:sz w:val="28"/>
          <w:szCs w:val="28"/>
        </w:rPr>
        <w:fldChar w:fldCharType="begin"/>
      </w:r>
      <w:r>
        <w:rPr>
          <w:sz w:val="28"/>
          <w:szCs w:val="28"/>
        </w:rPr>
        <w:instrText xml:space="preserve"> PAGEREF _Toc15102 \h </w:instrText>
      </w:r>
      <w:r>
        <w:rPr>
          <w:sz w:val="28"/>
          <w:szCs w:val="28"/>
        </w:rPr>
        <w:fldChar w:fldCharType="separate"/>
      </w:r>
      <w:r>
        <w:rPr>
          <w:sz w:val="28"/>
          <w:szCs w:val="28"/>
        </w:rPr>
        <w:t>26</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753FE6C5">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_Toc1949 </w:instrText>
      </w:r>
      <w:r>
        <w:rPr>
          <w:rFonts w:ascii="Arial" w:hAnsi="Arial"/>
          <w:bCs/>
          <w:caps/>
          <w:kern w:val="0"/>
          <w:sz w:val="28"/>
          <w:szCs w:val="28"/>
        </w:rPr>
        <w:fldChar w:fldCharType="separate"/>
      </w:r>
      <w:r>
        <w:rPr>
          <w:rFonts w:hint="eastAsia"/>
          <w:sz w:val="28"/>
          <w:szCs w:val="28"/>
        </w:rPr>
        <w:t>附件</w:t>
      </w:r>
      <w:r>
        <w:rPr>
          <w:sz w:val="28"/>
          <w:szCs w:val="28"/>
        </w:rPr>
        <w:t>5</w:t>
      </w:r>
      <w:r>
        <w:rPr>
          <w:rFonts w:hint="eastAsia"/>
          <w:sz w:val="28"/>
          <w:szCs w:val="28"/>
        </w:rPr>
        <w:t>技术服务和联络</w:t>
      </w:r>
      <w:r>
        <w:rPr>
          <w:sz w:val="28"/>
          <w:szCs w:val="28"/>
        </w:rPr>
        <w:tab/>
      </w:r>
      <w:r>
        <w:rPr>
          <w:sz w:val="28"/>
          <w:szCs w:val="28"/>
        </w:rPr>
        <w:fldChar w:fldCharType="begin"/>
      </w:r>
      <w:r>
        <w:rPr>
          <w:sz w:val="28"/>
          <w:szCs w:val="28"/>
        </w:rPr>
        <w:instrText xml:space="preserve"> PAGEREF _Toc1949 \h </w:instrText>
      </w:r>
      <w:r>
        <w:rPr>
          <w:sz w:val="28"/>
          <w:szCs w:val="28"/>
        </w:rPr>
        <w:fldChar w:fldCharType="separate"/>
      </w:r>
      <w:r>
        <w:rPr>
          <w:sz w:val="28"/>
          <w:szCs w:val="28"/>
        </w:rPr>
        <w:t>27</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48320D1B">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_Toc6480 </w:instrText>
      </w:r>
      <w:r>
        <w:rPr>
          <w:rFonts w:ascii="Arial" w:hAnsi="Arial"/>
          <w:bCs/>
          <w:caps/>
          <w:kern w:val="0"/>
          <w:sz w:val="28"/>
          <w:szCs w:val="28"/>
        </w:rPr>
        <w:fldChar w:fldCharType="separate"/>
      </w:r>
      <w:r>
        <w:rPr>
          <w:rFonts w:hint="eastAsia"/>
          <w:sz w:val="28"/>
          <w:szCs w:val="28"/>
        </w:rPr>
        <w:t>附件</w:t>
      </w:r>
      <w:r>
        <w:rPr>
          <w:sz w:val="28"/>
          <w:szCs w:val="28"/>
        </w:rPr>
        <w:t>6</w:t>
      </w:r>
      <w:r>
        <w:rPr>
          <w:rFonts w:hint="eastAsia"/>
          <w:sz w:val="28"/>
          <w:szCs w:val="28"/>
        </w:rPr>
        <w:t>分包与外购</w:t>
      </w:r>
      <w:r>
        <w:rPr>
          <w:sz w:val="28"/>
          <w:szCs w:val="28"/>
        </w:rPr>
        <w:tab/>
      </w:r>
      <w:r>
        <w:rPr>
          <w:sz w:val="28"/>
          <w:szCs w:val="28"/>
        </w:rPr>
        <w:fldChar w:fldCharType="begin"/>
      </w:r>
      <w:r>
        <w:rPr>
          <w:sz w:val="28"/>
          <w:szCs w:val="28"/>
        </w:rPr>
        <w:instrText xml:space="preserve"> PAGEREF _Toc6480 \h </w:instrText>
      </w:r>
      <w:r>
        <w:rPr>
          <w:sz w:val="28"/>
          <w:szCs w:val="28"/>
        </w:rPr>
        <w:fldChar w:fldCharType="separate"/>
      </w:r>
      <w:r>
        <w:rPr>
          <w:sz w:val="28"/>
          <w:szCs w:val="28"/>
        </w:rPr>
        <w:t>29</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47449697">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_Toc31799 </w:instrText>
      </w:r>
      <w:r>
        <w:rPr>
          <w:rFonts w:ascii="Arial" w:hAnsi="Arial"/>
          <w:bCs/>
          <w:caps/>
          <w:kern w:val="0"/>
          <w:sz w:val="28"/>
          <w:szCs w:val="28"/>
        </w:rPr>
        <w:fldChar w:fldCharType="separate"/>
      </w:r>
      <w:r>
        <w:rPr>
          <w:rFonts w:hint="eastAsia"/>
          <w:sz w:val="28"/>
          <w:szCs w:val="28"/>
        </w:rPr>
        <w:t>附件</w:t>
      </w:r>
      <w:r>
        <w:rPr>
          <w:sz w:val="28"/>
          <w:szCs w:val="28"/>
        </w:rPr>
        <w:t>7</w:t>
      </w:r>
      <w:r>
        <w:rPr>
          <w:rFonts w:hint="eastAsia"/>
          <w:sz w:val="28"/>
          <w:szCs w:val="28"/>
        </w:rPr>
        <w:t>交货进度</w:t>
      </w:r>
      <w:r>
        <w:rPr>
          <w:sz w:val="28"/>
          <w:szCs w:val="28"/>
        </w:rPr>
        <w:tab/>
      </w:r>
      <w:r>
        <w:rPr>
          <w:sz w:val="28"/>
          <w:szCs w:val="28"/>
        </w:rPr>
        <w:fldChar w:fldCharType="begin"/>
      </w:r>
      <w:r>
        <w:rPr>
          <w:sz w:val="28"/>
          <w:szCs w:val="28"/>
        </w:rPr>
        <w:instrText xml:space="preserve"> PAGEREF _Toc31799 \h </w:instrText>
      </w:r>
      <w:r>
        <w:rPr>
          <w:sz w:val="28"/>
          <w:szCs w:val="28"/>
        </w:rPr>
        <w:fldChar w:fldCharType="separate"/>
      </w:r>
      <w:r>
        <w:rPr>
          <w:sz w:val="28"/>
          <w:szCs w:val="28"/>
        </w:rPr>
        <w:t>30</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16AA0AC3">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_Toc20338 </w:instrText>
      </w:r>
      <w:r>
        <w:rPr>
          <w:rFonts w:ascii="Arial" w:hAnsi="Arial"/>
          <w:bCs/>
          <w:caps/>
          <w:kern w:val="0"/>
          <w:sz w:val="28"/>
          <w:szCs w:val="28"/>
        </w:rPr>
        <w:fldChar w:fldCharType="separate"/>
      </w:r>
      <w:r>
        <w:rPr>
          <w:rFonts w:hint="eastAsia"/>
          <w:sz w:val="28"/>
          <w:szCs w:val="28"/>
        </w:rPr>
        <w:t>附件</w:t>
      </w:r>
      <w:r>
        <w:rPr>
          <w:sz w:val="28"/>
          <w:szCs w:val="28"/>
        </w:rPr>
        <w:t>8</w:t>
      </w:r>
      <w:r>
        <w:rPr>
          <w:rFonts w:hint="eastAsia"/>
          <w:sz w:val="28"/>
          <w:szCs w:val="28"/>
        </w:rPr>
        <w:t>差异表</w:t>
      </w:r>
      <w:r>
        <w:rPr>
          <w:sz w:val="28"/>
          <w:szCs w:val="28"/>
        </w:rPr>
        <w:tab/>
      </w:r>
      <w:r>
        <w:rPr>
          <w:sz w:val="28"/>
          <w:szCs w:val="28"/>
        </w:rPr>
        <w:fldChar w:fldCharType="begin"/>
      </w:r>
      <w:r>
        <w:rPr>
          <w:sz w:val="28"/>
          <w:szCs w:val="28"/>
        </w:rPr>
        <w:instrText xml:space="preserve"> PAGEREF _Toc20338 \h </w:instrText>
      </w:r>
      <w:r>
        <w:rPr>
          <w:sz w:val="28"/>
          <w:szCs w:val="28"/>
        </w:rPr>
        <w:fldChar w:fldCharType="separate"/>
      </w:r>
      <w:r>
        <w:rPr>
          <w:sz w:val="28"/>
          <w:szCs w:val="28"/>
        </w:rPr>
        <w:t>31</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2EE3CD3F">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_Toc22050 </w:instrText>
      </w:r>
      <w:r>
        <w:rPr>
          <w:rFonts w:ascii="Arial" w:hAnsi="Arial"/>
          <w:bCs/>
          <w:caps/>
          <w:kern w:val="0"/>
          <w:sz w:val="28"/>
          <w:szCs w:val="28"/>
        </w:rPr>
        <w:fldChar w:fldCharType="separate"/>
      </w:r>
      <w:r>
        <w:rPr>
          <w:rFonts w:hint="eastAsia" w:hAnsi="宋体" w:cs="宋体"/>
          <w:sz w:val="28"/>
          <w:szCs w:val="28"/>
        </w:rPr>
        <w:t>附件</w:t>
      </w:r>
      <w:r>
        <w:rPr>
          <w:rFonts w:hint="eastAsia" w:hAnsi="宋体" w:cs="宋体"/>
          <w:sz w:val="28"/>
          <w:szCs w:val="28"/>
          <w:lang w:val="en-US" w:eastAsia="zh-CN"/>
        </w:rPr>
        <w:t>9</w:t>
      </w:r>
      <w:r>
        <w:rPr>
          <w:rFonts w:hint="eastAsia" w:hAnsi="宋体" w:cs="宋体"/>
          <w:sz w:val="28"/>
          <w:szCs w:val="28"/>
        </w:rPr>
        <w:t xml:space="preserve"> 运行维护手册</w:t>
      </w:r>
      <w:r>
        <w:rPr>
          <w:sz w:val="28"/>
          <w:szCs w:val="28"/>
        </w:rPr>
        <w:tab/>
      </w:r>
      <w:r>
        <w:rPr>
          <w:sz w:val="28"/>
          <w:szCs w:val="28"/>
        </w:rPr>
        <w:fldChar w:fldCharType="begin"/>
      </w:r>
      <w:r>
        <w:rPr>
          <w:sz w:val="28"/>
          <w:szCs w:val="28"/>
        </w:rPr>
        <w:instrText xml:space="preserve"> PAGEREF _Toc22050 \h </w:instrText>
      </w:r>
      <w:r>
        <w:rPr>
          <w:sz w:val="28"/>
          <w:szCs w:val="28"/>
        </w:rPr>
        <w:fldChar w:fldCharType="separate"/>
      </w:r>
      <w:r>
        <w:rPr>
          <w:sz w:val="28"/>
          <w:szCs w:val="28"/>
        </w:rPr>
        <w:t>32</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0BEF61DD">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_Toc9306 </w:instrText>
      </w:r>
      <w:r>
        <w:rPr>
          <w:rFonts w:ascii="Arial" w:hAnsi="Arial"/>
          <w:bCs/>
          <w:caps/>
          <w:kern w:val="0"/>
          <w:sz w:val="28"/>
          <w:szCs w:val="28"/>
        </w:rPr>
        <w:fldChar w:fldCharType="separate"/>
      </w:r>
      <w:r>
        <w:rPr>
          <w:rFonts w:hint="eastAsia" w:ascii="宋体"/>
          <w:sz w:val="28"/>
          <w:szCs w:val="28"/>
        </w:rPr>
        <w:t>附件10 技术差异表</w:t>
      </w:r>
      <w:r>
        <w:rPr>
          <w:sz w:val="28"/>
          <w:szCs w:val="28"/>
        </w:rPr>
        <w:tab/>
      </w:r>
      <w:r>
        <w:rPr>
          <w:sz w:val="28"/>
          <w:szCs w:val="28"/>
        </w:rPr>
        <w:fldChar w:fldCharType="begin"/>
      </w:r>
      <w:r>
        <w:rPr>
          <w:sz w:val="28"/>
          <w:szCs w:val="28"/>
        </w:rPr>
        <w:instrText xml:space="preserve"> PAGEREF _Toc9306 \h </w:instrText>
      </w:r>
      <w:r>
        <w:rPr>
          <w:sz w:val="28"/>
          <w:szCs w:val="28"/>
        </w:rPr>
        <w:fldChar w:fldCharType="separate"/>
      </w:r>
      <w:r>
        <w:rPr>
          <w:sz w:val="28"/>
          <w:szCs w:val="28"/>
        </w:rPr>
        <w:t>34</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4645C59F">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_Toc10375 </w:instrText>
      </w:r>
      <w:r>
        <w:rPr>
          <w:rFonts w:ascii="Arial" w:hAnsi="Arial"/>
          <w:bCs/>
          <w:caps/>
          <w:kern w:val="0"/>
          <w:sz w:val="28"/>
          <w:szCs w:val="28"/>
        </w:rPr>
        <w:fldChar w:fldCharType="separate"/>
      </w:r>
      <w:r>
        <w:rPr>
          <w:rFonts w:hint="eastAsia" w:hAnsi="宋体" w:cs="宋体"/>
          <w:sz w:val="28"/>
          <w:szCs w:val="28"/>
        </w:rPr>
        <w:t>附件1</w:t>
      </w:r>
      <w:r>
        <w:rPr>
          <w:rFonts w:hint="eastAsia" w:hAnsi="宋体" w:cs="宋体"/>
          <w:sz w:val="28"/>
          <w:szCs w:val="28"/>
          <w:lang w:val="en-US" w:eastAsia="zh-CN"/>
        </w:rPr>
        <w:t>1</w:t>
      </w:r>
      <w:r>
        <w:rPr>
          <w:rFonts w:hint="eastAsia" w:hAnsi="宋体" w:cs="宋体"/>
          <w:sz w:val="28"/>
          <w:szCs w:val="28"/>
        </w:rPr>
        <w:t xml:space="preserve"> 附图</w:t>
      </w:r>
      <w:r>
        <w:rPr>
          <w:sz w:val="28"/>
          <w:szCs w:val="28"/>
        </w:rPr>
        <w:tab/>
      </w:r>
      <w:r>
        <w:rPr>
          <w:sz w:val="28"/>
          <w:szCs w:val="28"/>
        </w:rPr>
        <w:fldChar w:fldCharType="begin"/>
      </w:r>
      <w:r>
        <w:rPr>
          <w:sz w:val="28"/>
          <w:szCs w:val="28"/>
        </w:rPr>
        <w:instrText xml:space="preserve"> PAGEREF _Toc10375 \h </w:instrText>
      </w:r>
      <w:r>
        <w:rPr>
          <w:sz w:val="28"/>
          <w:szCs w:val="28"/>
        </w:rPr>
        <w:fldChar w:fldCharType="separate"/>
      </w:r>
      <w:r>
        <w:rPr>
          <w:sz w:val="28"/>
          <w:szCs w:val="28"/>
        </w:rPr>
        <w:t>35</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38F03597">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_Toc20086 </w:instrText>
      </w:r>
      <w:r>
        <w:rPr>
          <w:rFonts w:ascii="Arial" w:hAnsi="Arial"/>
          <w:bCs/>
          <w:caps/>
          <w:kern w:val="0"/>
          <w:sz w:val="28"/>
          <w:szCs w:val="28"/>
        </w:rPr>
        <w:fldChar w:fldCharType="separate"/>
      </w:r>
      <w:r>
        <w:rPr>
          <w:rFonts w:hint="eastAsia" w:hAnsi="宋体" w:cs="宋体"/>
          <w:sz w:val="28"/>
          <w:szCs w:val="28"/>
        </w:rPr>
        <w:t>附件1</w:t>
      </w:r>
      <w:r>
        <w:rPr>
          <w:rFonts w:hint="eastAsia" w:hAnsi="宋体" w:cs="宋体"/>
          <w:sz w:val="28"/>
          <w:szCs w:val="28"/>
          <w:lang w:val="en-US" w:eastAsia="zh-CN"/>
        </w:rPr>
        <w:t>2</w:t>
      </w:r>
      <w:r>
        <w:rPr>
          <w:rFonts w:hint="eastAsia" w:hAnsi="宋体" w:cs="宋体"/>
          <w:sz w:val="28"/>
          <w:szCs w:val="28"/>
        </w:rPr>
        <w:t xml:space="preserve"> 性能考核条款</w:t>
      </w:r>
      <w:r>
        <w:rPr>
          <w:sz w:val="28"/>
          <w:szCs w:val="28"/>
        </w:rPr>
        <w:tab/>
      </w:r>
      <w:r>
        <w:rPr>
          <w:sz w:val="28"/>
          <w:szCs w:val="28"/>
        </w:rPr>
        <w:fldChar w:fldCharType="begin"/>
      </w:r>
      <w:r>
        <w:rPr>
          <w:sz w:val="28"/>
          <w:szCs w:val="28"/>
        </w:rPr>
        <w:instrText xml:space="preserve"> PAGEREF _Toc20086 \h </w:instrText>
      </w:r>
      <w:r>
        <w:rPr>
          <w:sz w:val="28"/>
          <w:szCs w:val="28"/>
        </w:rPr>
        <w:fldChar w:fldCharType="separate"/>
      </w:r>
      <w:r>
        <w:rPr>
          <w:sz w:val="28"/>
          <w:szCs w:val="28"/>
        </w:rPr>
        <w:t>36</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5588BBD2">
      <w:pPr>
        <w:pStyle w:val="23"/>
        <w:tabs>
          <w:tab w:val="right" w:leader="dot" w:pos="9241"/>
        </w:tabs>
        <w:spacing w:beforeLines="0" w:afterLines="0" w:line="360" w:lineRule="auto"/>
        <w:rPr>
          <w:sz w:val="28"/>
          <w:szCs w:val="28"/>
        </w:rPr>
      </w:pPr>
      <w:r>
        <w:rPr>
          <w:rFonts w:ascii="Arial" w:hAnsi="Arial"/>
          <w:bCs/>
          <w:caps/>
          <w:color w:val="000000" w:themeColor="text1"/>
          <w:kern w:val="0"/>
          <w:sz w:val="28"/>
          <w:szCs w:val="28"/>
          <w14:textFill>
            <w14:solidFill>
              <w14:schemeClr w14:val="tx1"/>
            </w14:solidFill>
          </w14:textFill>
        </w:rPr>
        <w:fldChar w:fldCharType="begin"/>
      </w:r>
      <w:r>
        <w:rPr>
          <w:rFonts w:ascii="Arial" w:hAnsi="Arial"/>
          <w:bCs/>
          <w:caps/>
          <w:kern w:val="0"/>
          <w:sz w:val="28"/>
          <w:szCs w:val="28"/>
        </w:rPr>
        <w:instrText xml:space="preserve"> HYPERLINK \l _Toc2163 </w:instrText>
      </w:r>
      <w:r>
        <w:rPr>
          <w:rFonts w:ascii="Arial" w:hAnsi="Arial"/>
          <w:bCs/>
          <w:caps/>
          <w:kern w:val="0"/>
          <w:sz w:val="28"/>
          <w:szCs w:val="28"/>
        </w:rPr>
        <w:fldChar w:fldCharType="separate"/>
      </w:r>
      <w:r>
        <w:rPr>
          <w:rFonts w:hint="eastAsia" w:hAnsi="宋体" w:cs="宋体"/>
          <w:sz w:val="28"/>
          <w:szCs w:val="28"/>
        </w:rPr>
        <w:t>附件1</w:t>
      </w:r>
      <w:r>
        <w:rPr>
          <w:rFonts w:hint="eastAsia" w:hAnsi="宋体" w:cs="宋体"/>
          <w:sz w:val="28"/>
          <w:szCs w:val="28"/>
          <w:lang w:val="en-US" w:eastAsia="zh-CN"/>
        </w:rPr>
        <w:t>3</w:t>
      </w:r>
      <w:r>
        <w:rPr>
          <w:rFonts w:hint="eastAsia" w:hAnsi="宋体" w:cs="宋体"/>
          <w:sz w:val="28"/>
          <w:szCs w:val="28"/>
        </w:rPr>
        <w:t xml:space="preserve"> </w:t>
      </w:r>
      <w:r>
        <w:rPr>
          <w:rFonts w:hint="eastAsia" w:hAnsi="宋体" w:cs="宋体"/>
          <w:sz w:val="28"/>
          <w:szCs w:val="28"/>
          <w:lang w:eastAsia="zh-CN"/>
        </w:rPr>
        <w:t>投标人</w:t>
      </w:r>
      <w:r>
        <w:rPr>
          <w:rFonts w:hint="eastAsia" w:hAnsi="宋体" w:cs="宋体"/>
          <w:sz w:val="28"/>
          <w:szCs w:val="28"/>
        </w:rPr>
        <w:t>需要说明的其他问题（技术特点、质保体系及售后服务承诺等）</w:t>
      </w:r>
      <w:r>
        <w:rPr>
          <w:sz w:val="28"/>
          <w:szCs w:val="28"/>
        </w:rPr>
        <w:tab/>
      </w:r>
      <w:r>
        <w:rPr>
          <w:sz w:val="28"/>
          <w:szCs w:val="28"/>
        </w:rPr>
        <w:fldChar w:fldCharType="begin"/>
      </w:r>
      <w:r>
        <w:rPr>
          <w:sz w:val="28"/>
          <w:szCs w:val="28"/>
        </w:rPr>
        <w:instrText xml:space="preserve"> PAGEREF _Toc2163 \h </w:instrText>
      </w:r>
      <w:r>
        <w:rPr>
          <w:sz w:val="28"/>
          <w:szCs w:val="28"/>
        </w:rPr>
        <w:fldChar w:fldCharType="separate"/>
      </w:r>
      <w:r>
        <w:rPr>
          <w:sz w:val="28"/>
          <w:szCs w:val="28"/>
        </w:rPr>
        <w:t>37</w:t>
      </w:r>
      <w:r>
        <w:rPr>
          <w:sz w:val="28"/>
          <w:szCs w:val="28"/>
        </w:rPr>
        <w:fldChar w:fldCharType="end"/>
      </w:r>
      <w:r>
        <w:rPr>
          <w:rFonts w:ascii="Arial" w:hAnsi="Arial"/>
          <w:bCs/>
          <w:caps/>
          <w:color w:val="000000" w:themeColor="text1"/>
          <w:kern w:val="0"/>
          <w:sz w:val="28"/>
          <w:szCs w:val="28"/>
          <w14:textFill>
            <w14:solidFill>
              <w14:schemeClr w14:val="tx1"/>
            </w14:solidFill>
          </w14:textFill>
        </w:rPr>
        <w:fldChar w:fldCharType="end"/>
      </w:r>
    </w:p>
    <w:p w14:paraId="316FC9BD">
      <w:pPr>
        <w:rPr>
          <w:rFonts w:hint="eastAsia"/>
          <w:color w:val="000000" w:themeColor="text1"/>
          <w:sz w:val="28"/>
          <w:szCs w:val="28"/>
          <w14:textFill>
            <w14:solidFill>
              <w14:schemeClr w14:val="tx1"/>
            </w14:solidFill>
          </w14:textFill>
        </w:rPr>
      </w:pPr>
      <w:r>
        <w:rPr>
          <w:rFonts w:ascii="Arial" w:hAnsi="Arial"/>
          <w:b/>
          <w:bCs/>
          <w:caps/>
          <w:color w:val="000000" w:themeColor="text1"/>
          <w:kern w:val="0"/>
          <w:sz w:val="28"/>
          <w:szCs w:val="28"/>
          <w14:textFill>
            <w14:solidFill>
              <w14:schemeClr w14:val="tx1"/>
            </w14:solidFill>
          </w14:textFill>
        </w:rPr>
        <w:fldChar w:fldCharType="end"/>
      </w:r>
      <w:bookmarkStart w:id="0" w:name="_Toc7480"/>
      <w:bookmarkStart w:id="1" w:name="_Toc171002361"/>
      <w:r>
        <w:rPr>
          <w:rFonts w:hint="eastAsia"/>
          <w:color w:val="000000" w:themeColor="text1"/>
          <w:sz w:val="28"/>
          <w:szCs w:val="28"/>
          <w14:textFill>
            <w14:solidFill>
              <w14:schemeClr w14:val="tx1"/>
            </w14:solidFill>
          </w14:textFill>
        </w:rPr>
        <w:br w:type="page"/>
      </w:r>
    </w:p>
    <w:p w14:paraId="6E5C2649">
      <w:pPr>
        <w:pStyle w:val="3"/>
        <w:keepNext w:val="0"/>
        <w:keepLines w:val="0"/>
        <w:widowControl/>
        <w:numPr>
          <w:ilvl w:val="-1"/>
          <w:numId w:val="0"/>
        </w:numPr>
        <w:outlineLvl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 xml:space="preserve">1 </w:t>
      </w:r>
      <w:r>
        <w:rPr>
          <w:rFonts w:hint="eastAsia"/>
          <w:color w:val="000000" w:themeColor="text1"/>
          <w:sz w:val="28"/>
          <w:szCs w:val="28"/>
          <w14:textFill>
            <w14:solidFill>
              <w14:schemeClr w14:val="tx1"/>
            </w14:solidFill>
          </w14:textFill>
        </w:rPr>
        <w:t>技术规范</w:t>
      </w:r>
      <w:bookmarkEnd w:id="0"/>
      <w:bookmarkEnd w:id="1"/>
    </w:p>
    <w:p w14:paraId="1B69874A">
      <w:pPr>
        <w:pStyle w:val="4"/>
        <w:numPr>
          <w:ilvl w:val="0"/>
          <w:numId w:val="0"/>
        </w:numPr>
        <w:ind w:left="360" w:hanging="360"/>
        <w:rPr>
          <w:color w:val="000000" w:themeColor="text1"/>
          <w14:textFill>
            <w14:solidFill>
              <w14:schemeClr w14:val="tx1"/>
            </w14:solidFill>
          </w14:textFill>
        </w:rPr>
      </w:pPr>
      <w:bookmarkStart w:id="2" w:name="_Toc171002362"/>
      <w:bookmarkStart w:id="3" w:name="_Toc7154"/>
      <w:r>
        <w:rPr>
          <w:rFonts w:hint="default" w:ascii="Times New Roman" w:hAnsi="Times New Roman" w:eastAsia="宋体" w:cs="Times New Roman"/>
          <w:b/>
          <w:color w:val="000000" w:themeColor="text1"/>
          <w:kern w:val="0"/>
          <w:sz w:val="28"/>
          <w:szCs w:val="28"/>
          <w:lang w:val="en-US" w:eastAsia="zh-CN" w:bidi="ar-SA"/>
          <w14:textFill>
            <w14:solidFill>
              <w14:schemeClr w14:val="tx1"/>
            </w14:solidFill>
          </w14:textFill>
        </w:rPr>
        <w:t>1</w:t>
      </w:r>
      <w:r>
        <w:rPr>
          <w:rFonts w:hint="eastAsia"/>
          <w:color w:val="000000" w:themeColor="text1"/>
          <w14:textFill>
            <w14:solidFill>
              <w14:schemeClr w14:val="tx1"/>
            </w14:solidFill>
          </w14:textFill>
        </w:rPr>
        <w:t>范围</w:t>
      </w:r>
      <w:bookmarkEnd w:id="2"/>
      <w:bookmarkEnd w:id="3"/>
    </w:p>
    <w:p w14:paraId="02F4F1B2">
      <w:pPr>
        <w:spacing w:line="360" w:lineRule="auto"/>
        <w:ind w:right="0"/>
        <w:rPr>
          <w:sz w:val="24"/>
        </w:rPr>
      </w:pPr>
      <w:r>
        <w:rPr>
          <w:sz w:val="24"/>
        </w:rPr>
        <w:t xml:space="preserve">1.1 </w:t>
      </w:r>
      <w:r>
        <w:rPr>
          <w:rFonts w:hAnsi="宋体"/>
          <w:sz w:val="24"/>
        </w:rPr>
        <w:t>本技术规范书适用于</w:t>
      </w:r>
      <w:r>
        <w:rPr>
          <w:rFonts w:hint="eastAsia"/>
          <w:kern w:val="0"/>
          <w:sz w:val="24"/>
        </w:rPr>
        <w:t>台州临港热电有限公司扩建项目</w:t>
      </w:r>
      <w:r>
        <w:rPr>
          <w:kern w:val="0"/>
          <w:sz w:val="24"/>
        </w:rPr>
        <w:t>机组</w:t>
      </w:r>
      <w:r>
        <w:rPr>
          <w:rFonts w:hint="eastAsia"/>
          <w:kern w:val="0"/>
          <w:sz w:val="24"/>
        </w:rPr>
        <w:t>的</w:t>
      </w:r>
      <w:r>
        <w:rPr>
          <w:rFonts w:hint="eastAsia" w:hAnsi="宋体"/>
          <w:sz w:val="24"/>
        </w:rPr>
        <w:t>大屏幕系统和操作台</w:t>
      </w:r>
      <w:r>
        <w:rPr>
          <w:rFonts w:hAnsi="宋体"/>
          <w:sz w:val="24"/>
        </w:rPr>
        <w:t>，它提出了该设备的功能设计、结构、性能、安装和试验等方面的技术要求。</w:t>
      </w:r>
    </w:p>
    <w:p w14:paraId="725A11D8">
      <w:pPr>
        <w:spacing w:line="360" w:lineRule="auto"/>
        <w:jc w:val="left"/>
      </w:pPr>
      <w:r>
        <w:rPr>
          <w:sz w:val="24"/>
        </w:rPr>
        <w:t xml:space="preserve">1.2 </w:t>
      </w:r>
      <w:r>
        <w:rPr>
          <w:rFonts w:hAnsi="宋体"/>
          <w:sz w:val="24"/>
        </w:rPr>
        <w:t>招标人在技术规范书中提出了最低限度的技术要求，并未规定所有的技术要求和适用的标准，投标人提供一套满足本技术规范书和所列标准要求的高质量产品及其相应服务。对所在国家的有关安全、环保等强制性标准，应满足其要求。</w:t>
      </w:r>
      <w:r>
        <w:rPr>
          <w:rFonts w:hint="default" w:ascii="Times New Roman" w:hAnsi="宋体" w:eastAsia="宋体" w:cs="Times New Roman"/>
          <w:sz w:val="24"/>
        </w:rPr>
        <w:t xml:space="preserve"> </w:t>
      </w:r>
    </w:p>
    <w:p w14:paraId="09B98437">
      <w:pPr>
        <w:spacing w:line="360" w:lineRule="auto"/>
        <w:ind w:right="-210"/>
        <w:rPr>
          <w:sz w:val="24"/>
        </w:rPr>
      </w:pPr>
      <w:r>
        <w:rPr>
          <w:sz w:val="24"/>
        </w:rPr>
        <w:t>1.</w:t>
      </w:r>
      <w:r>
        <w:rPr>
          <w:rFonts w:hint="eastAsia"/>
          <w:sz w:val="24"/>
          <w:lang w:val="en-US" w:eastAsia="zh-CN"/>
        </w:rPr>
        <w:t>3</w:t>
      </w:r>
      <w:r>
        <w:rPr>
          <w:sz w:val="24"/>
        </w:rPr>
        <w:t xml:space="preserve"> </w:t>
      </w:r>
      <w:r>
        <w:rPr>
          <w:rFonts w:hAnsi="宋体"/>
          <w:sz w:val="24"/>
        </w:rPr>
        <w:t>合同签订后</w:t>
      </w:r>
      <w:r>
        <w:rPr>
          <w:sz w:val="24"/>
        </w:rPr>
        <w:t>1</w:t>
      </w:r>
      <w:r>
        <w:rPr>
          <w:rFonts w:hAnsi="宋体"/>
          <w:sz w:val="24"/>
        </w:rPr>
        <w:t>个月，按合同文件的要求</w:t>
      </w:r>
      <w:r>
        <w:rPr>
          <w:rFonts w:hint="eastAsia"/>
          <w:sz w:val="24"/>
        </w:rPr>
        <w:t>，</w:t>
      </w:r>
      <w:r>
        <w:rPr>
          <w:rFonts w:hAnsi="宋体"/>
          <w:sz w:val="24"/>
        </w:rPr>
        <w:t>投标人提出合同设备的设计﹑制造﹑检验</w:t>
      </w:r>
      <w:r>
        <w:rPr>
          <w:sz w:val="24"/>
        </w:rPr>
        <w:t>/</w:t>
      </w:r>
      <w:r>
        <w:rPr>
          <w:rFonts w:hAnsi="宋体"/>
          <w:sz w:val="24"/>
        </w:rPr>
        <w:t>试验﹑装配﹑安装﹑调试﹑试运﹑验收﹑试验﹑运行和维护等标准清单给招标人，由招标人确认。</w:t>
      </w:r>
    </w:p>
    <w:p w14:paraId="5B577DA4">
      <w:pPr>
        <w:spacing w:line="360" w:lineRule="auto"/>
        <w:ind w:right="-210"/>
        <w:rPr>
          <w:sz w:val="24"/>
        </w:rPr>
      </w:pPr>
      <w:r>
        <w:rPr>
          <w:sz w:val="24"/>
        </w:rPr>
        <w:t>1.</w:t>
      </w:r>
      <w:r>
        <w:rPr>
          <w:rFonts w:hint="eastAsia"/>
          <w:sz w:val="24"/>
          <w:lang w:val="en-US" w:eastAsia="zh-CN"/>
        </w:rPr>
        <w:t>4</w:t>
      </w:r>
      <w:r>
        <w:rPr>
          <w:sz w:val="24"/>
        </w:rPr>
        <w:t xml:space="preserve"> </w:t>
      </w:r>
      <w:r>
        <w:rPr>
          <w:rFonts w:hAnsi="宋体"/>
          <w:sz w:val="24"/>
        </w:rPr>
        <w:t>设备采用的专利涉及到的全部费用均已包含在设备报价中，投标人保证招标人不承担有关设备专利的一切责任。</w:t>
      </w:r>
    </w:p>
    <w:p w14:paraId="45CB4B5A">
      <w:pPr>
        <w:spacing w:line="360" w:lineRule="auto"/>
        <w:ind w:right="-210"/>
        <w:rPr>
          <w:sz w:val="24"/>
        </w:rPr>
      </w:pPr>
      <w:r>
        <w:rPr>
          <w:sz w:val="24"/>
        </w:rPr>
        <w:t>1.</w:t>
      </w:r>
      <w:r>
        <w:rPr>
          <w:rFonts w:hint="eastAsia"/>
          <w:sz w:val="24"/>
          <w:lang w:val="en-US" w:eastAsia="zh-CN"/>
        </w:rPr>
        <w:t>5</w:t>
      </w:r>
      <w:r>
        <w:rPr>
          <w:sz w:val="24"/>
        </w:rPr>
        <w:t xml:space="preserve"> </w:t>
      </w:r>
      <w:r>
        <w:rPr>
          <w:rFonts w:hAnsi="宋体"/>
          <w:sz w:val="24"/>
        </w:rPr>
        <w:t>投标人提供高质量的设备。这些设备是成熟可靠、技术先进的产品，且制造厂已有相同容量机组合同设备制造、运行的成功经验。</w:t>
      </w:r>
    </w:p>
    <w:p w14:paraId="6B85CA92">
      <w:pPr>
        <w:spacing w:line="360" w:lineRule="auto"/>
        <w:ind w:right="-210"/>
        <w:rPr>
          <w:sz w:val="24"/>
        </w:rPr>
      </w:pPr>
      <w:r>
        <w:rPr>
          <w:sz w:val="24"/>
        </w:rPr>
        <w:t>1.</w:t>
      </w:r>
      <w:r>
        <w:rPr>
          <w:rFonts w:hint="eastAsia"/>
          <w:sz w:val="24"/>
          <w:lang w:val="en-US" w:eastAsia="zh-CN"/>
        </w:rPr>
        <w:t>6</w:t>
      </w:r>
      <w:r>
        <w:rPr>
          <w:sz w:val="24"/>
        </w:rPr>
        <w:t xml:space="preserve"> </w:t>
      </w:r>
      <w:r>
        <w:rPr>
          <w:rFonts w:hAnsi="宋体"/>
          <w:sz w:val="24"/>
        </w:rPr>
        <w:t>在签订合同之后，招标人有权提出因规范标准和规程发生变化而产生的一些补充要求，具体项目由招投标人双方共同商定。当主机参数发生变化时而补充的变化要求，设备不加价。</w:t>
      </w:r>
    </w:p>
    <w:p w14:paraId="5F7A7EB0">
      <w:pPr>
        <w:spacing w:line="360" w:lineRule="auto"/>
        <w:ind w:right="-210"/>
        <w:rPr>
          <w:sz w:val="24"/>
        </w:rPr>
      </w:pPr>
      <w:r>
        <w:rPr>
          <w:sz w:val="24"/>
        </w:rPr>
        <w:t>1.</w:t>
      </w:r>
      <w:r>
        <w:rPr>
          <w:rFonts w:hint="eastAsia"/>
          <w:sz w:val="24"/>
          <w:lang w:val="en-US" w:eastAsia="zh-CN"/>
        </w:rPr>
        <w:t>7</w:t>
      </w:r>
      <w:r>
        <w:rPr>
          <w:rFonts w:hAnsi="宋体"/>
          <w:sz w:val="24"/>
        </w:rPr>
        <w:t>如对本招标文件有偏差</w:t>
      </w:r>
      <w:r>
        <w:rPr>
          <w:sz w:val="24"/>
        </w:rPr>
        <w:t>(</w:t>
      </w:r>
      <w:r>
        <w:rPr>
          <w:rFonts w:hAnsi="宋体"/>
          <w:sz w:val="24"/>
        </w:rPr>
        <w:t>无论多少</w:t>
      </w:r>
      <w:r>
        <w:rPr>
          <w:sz w:val="24"/>
        </w:rPr>
        <w:t>)</w:t>
      </w:r>
      <w:r>
        <w:rPr>
          <w:rFonts w:hAnsi="宋体"/>
          <w:sz w:val="24"/>
        </w:rPr>
        <w:t>都必须清楚地表示在本招标文件的附件</w:t>
      </w:r>
      <w:r>
        <w:rPr>
          <w:sz w:val="24"/>
        </w:rPr>
        <w:t>1</w:t>
      </w:r>
      <w:r>
        <w:rPr>
          <w:rFonts w:hint="eastAsia"/>
          <w:sz w:val="24"/>
          <w:lang w:val="en-US" w:eastAsia="zh-CN"/>
        </w:rPr>
        <w:t>0</w:t>
      </w:r>
      <w:r>
        <w:rPr>
          <w:rFonts w:hint="eastAsia"/>
          <w:sz w:val="24"/>
        </w:rPr>
        <w:t>“</w:t>
      </w:r>
      <w:r>
        <w:rPr>
          <w:rFonts w:hAnsi="宋体"/>
          <w:sz w:val="24"/>
        </w:rPr>
        <w:t>差异表</w:t>
      </w:r>
      <w:r>
        <w:rPr>
          <w:rFonts w:hint="eastAsia"/>
          <w:sz w:val="24"/>
        </w:rPr>
        <w:t>”</w:t>
      </w:r>
      <w:r>
        <w:rPr>
          <w:rFonts w:hAnsi="宋体"/>
          <w:sz w:val="24"/>
        </w:rPr>
        <w:t>中。否则将认为招标人提供的设备完全符合本招标文件和标准的要求。</w:t>
      </w:r>
    </w:p>
    <w:p w14:paraId="053150AF">
      <w:pPr>
        <w:spacing w:line="360" w:lineRule="auto"/>
        <w:ind w:right="-210"/>
        <w:rPr>
          <w:sz w:val="24"/>
        </w:rPr>
      </w:pPr>
      <w:r>
        <w:rPr>
          <w:sz w:val="24"/>
        </w:rPr>
        <w:t>1.</w:t>
      </w:r>
      <w:r>
        <w:rPr>
          <w:rFonts w:hint="eastAsia"/>
          <w:sz w:val="24"/>
          <w:lang w:val="en-US" w:eastAsia="zh-CN"/>
        </w:rPr>
        <w:t>8</w:t>
      </w:r>
      <w:r>
        <w:rPr>
          <w:rFonts w:hAnsi="宋体"/>
          <w:sz w:val="24"/>
        </w:rPr>
        <w:t>只有招标人有权修改本规范书。经买卖双方协商，最终确定的规范书应作为合同的一个附件，并与合同文件有相同的法律效力。</w:t>
      </w:r>
    </w:p>
    <w:p w14:paraId="14CF5E1C">
      <w:pPr>
        <w:spacing w:line="360" w:lineRule="auto"/>
        <w:ind w:right="-210"/>
        <w:rPr>
          <w:sz w:val="24"/>
        </w:rPr>
      </w:pPr>
      <w:r>
        <w:rPr>
          <w:sz w:val="24"/>
        </w:rPr>
        <w:t>1.</w:t>
      </w:r>
      <w:r>
        <w:rPr>
          <w:rFonts w:hint="eastAsia"/>
          <w:sz w:val="24"/>
          <w:lang w:val="en-US" w:eastAsia="zh-CN"/>
        </w:rPr>
        <w:t>9</w:t>
      </w:r>
      <w:r>
        <w:rPr>
          <w:rFonts w:hAnsi="宋体"/>
          <w:sz w:val="24"/>
        </w:rPr>
        <w:t>本工程采用</w:t>
      </w:r>
      <w:r>
        <w:rPr>
          <w:rFonts w:hint="eastAsia" w:ascii="宋体" w:hAnsi="宋体"/>
          <w:bCs/>
          <w:sz w:val="24"/>
        </w:rPr>
        <w:t>统一标识系统，编码按照GB/T 50549《电厂标识系统编码标准》执行</w:t>
      </w:r>
      <w:r>
        <w:rPr>
          <w:rFonts w:hAnsi="宋体"/>
          <w:sz w:val="24"/>
        </w:rPr>
        <w:t>。投标人提供的所有技术资料（包括图纸）和设备的标识应满足此标准。</w:t>
      </w:r>
    </w:p>
    <w:p w14:paraId="0A045DA9">
      <w:pPr>
        <w:spacing w:line="360" w:lineRule="auto"/>
        <w:ind w:right="-210"/>
        <w:rPr>
          <w:sz w:val="24"/>
        </w:rPr>
      </w:pPr>
      <w:r>
        <w:rPr>
          <w:sz w:val="24"/>
        </w:rPr>
        <w:t>1.1</w:t>
      </w:r>
      <w:r>
        <w:rPr>
          <w:rFonts w:hint="eastAsia"/>
          <w:sz w:val="24"/>
          <w:lang w:val="en-US" w:eastAsia="zh-CN"/>
        </w:rPr>
        <w:t>0</w:t>
      </w:r>
      <w:r>
        <w:rPr>
          <w:sz w:val="24"/>
        </w:rPr>
        <w:t xml:space="preserve"> </w:t>
      </w:r>
      <w:r>
        <w:rPr>
          <w:rFonts w:hAnsi="宋体"/>
          <w:sz w:val="24"/>
        </w:rPr>
        <w:t>投标人供货范围内所有设备的选厂、选型应在投标书中列出并征得招标人的认可。</w:t>
      </w:r>
    </w:p>
    <w:p w14:paraId="1276B306">
      <w:pPr>
        <w:spacing w:line="360" w:lineRule="auto"/>
        <w:ind w:right="-210"/>
        <w:rPr>
          <w:sz w:val="24"/>
        </w:rPr>
      </w:pPr>
      <w:r>
        <w:rPr>
          <w:sz w:val="24"/>
        </w:rPr>
        <w:t>1.1</w:t>
      </w:r>
      <w:r>
        <w:rPr>
          <w:rFonts w:hint="eastAsia"/>
          <w:sz w:val="24"/>
          <w:lang w:val="en-US" w:eastAsia="zh-CN"/>
        </w:rPr>
        <w:t>1</w:t>
      </w:r>
      <w:r>
        <w:rPr>
          <w:sz w:val="24"/>
        </w:rPr>
        <w:t xml:space="preserve"> </w:t>
      </w:r>
      <w:r>
        <w:rPr>
          <w:rFonts w:hAnsi="宋体"/>
          <w:sz w:val="24"/>
        </w:rPr>
        <w:t>招标人在设计过程中对于投标人设计方案和图纸的确认，并不代表招标人将为</w:t>
      </w:r>
      <w:r>
        <w:rPr>
          <w:rFonts w:hint="eastAsia" w:hAnsi="宋体"/>
          <w:sz w:val="24"/>
        </w:rPr>
        <w:t>大屏幕系统和操作台</w:t>
      </w:r>
      <w:r>
        <w:rPr>
          <w:rFonts w:hAnsi="宋体"/>
          <w:sz w:val="24"/>
        </w:rPr>
        <w:t>的设计承担责任，投标人完全保证所供设备的安全可靠性、合理性、完整性和优良性。无论是否经过招标人确认，投标人都无条件对设备中的缺陷、不足和本技术规范不符的地方进行修改、补充或更换，而不增加任何费用。</w:t>
      </w:r>
    </w:p>
    <w:p w14:paraId="06B4695E">
      <w:pPr>
        <w:spacing w:line="360" w:lineRule="auto"/>
        <w:ind w:right="-210"/>
        <w:rPr>
          <w:sz w:val="24"/>
        </w:rPr>
      </w:pPr>
      <w:r>
        <w:rPr>
          <w:sz w:val="24"/>
        </w:rPr>
        <w:t>1.1</w:t>
      </w:r>
      <w:r>
        <w:rPr>
          <w:rFonts w:hint="eastAsia"/>
          <w:sz w:val="24"/>
          <w:lang w:val="en-US" w:eastAsia="zh-CN"/>
        </w:rPr>
        <w:t>2</w:t>
      </w:r>
      <w:r>
        <w:rPr>
          <w:rFonts w:hAnsi="宋体"/>
          <w:sz w:val="24"/>
        </w:rPr>
        <w:t>在工程施工过程中发现非人为原因设备损坏，投标人承诺</w:t>
      </w:r>
      <w:r>
        <w:rPr>
          <w:sz w:val="24"/>
        </w:rPr>
        <w:t>72</w:t>
      </w:r>
      <w:r>
        <w:rPr>
          <w:rFonts w:hAnsi="宋体"/>
          <w:sz w:val="24"/>
        </w:rPr>
        <w:t>小时内无条件更换。另外，在工程施工过程中，因遗漏需增加仪表，投标人承诺</w:t>
      </w:r>
      <w:r>
        <w:rPr>
          <w:sz w:val="24"/>
        </w:rPr>
        <w:t>72</w:t>
      </w:r>
      <w:r>
        <w:rPr>
          <w:rFonts w:hAnsi="宋体"/>
          <w:sz w:val="24"/>
        </w:rPr>
        <w:t>小时内满足现场要求。</w:t>
      </w:r>
    </w:p>
    <w:p w14:paraId="3ED31420">
      <w:pPr>
        <w:spacing w:line="360" w:lineRule="auto"/>
        <w:ind w:right="-210"/>
        <w:rPr>
          <w:rFonts w:hAnsi="宋体"/>
          <w:sz w:val="24"/>
        </w:rPr>
      </w:pPr>
      <w:r>
        <w:rPr>
          <w:sz w:val="24"/>
        </w:rPr>
        <w:t>1.1</w:t>
      </w:r>
      <w:r>
        <w:rPr>
          <w:rFonts w:hint="eastAsia"/>
          <w:sz w:val="24"/>
          <w:lang w:val="en-US" w:eastAsia="zh-CN"/>
        </w:rPr>
        <w:t>3</w:t>
      </w:r>
      <w:r>
        <w:rPr>
          <w:rFonts w:hAnsi="宋体"/>
          <w:sz w:val="24"/>
        </w:rPr>
        <w:t>投标人</w:t>
      </w:r>
      <w:r>
        <w:rPr>
          <w:rFonts w:hAnsi="宋体"/>
          <w:color w:val="000000"/>
          <w:sz w:val="24"/>
        </w:rPr>
        <w:t>应承诺供货合同签字直至所供设备移交生产之前，应允许</w:t>
      </w:r>
      <w:r>
        <w:rPr>
          <w:rFonts w:hAnsi="宋体"/>
          <w:sz w:val="24"/>
        </w:rPr>
        <w:t>招标人</w:t>
      </w:r>
      <w:r>
        <w:rPr>
          <w:rFonts w:hAnsi="宋体"/>
          <w:color w:val="000000"/>
          <w:sz w:val="24"/>
        </w:rPr>
        <w:t>对供货设备提出范围有限的设计修改而不影响合同价。</w:t>
      </w:r>
      <w:r>
        <w:rPr>
          <w:rFonts w:hAnsi="宋体"/>
          <w:sz w:val="24"/>
        </w:rPr>
        <w:t>在合同谈判及合同执行过程中发生仪表数量变化</w:t>
      </w:r>
      <w:r>
        <w:rPr>
          <w:rFonts w:hint="eastAsia"/>
          <w:sz w:val="24"/>
          <w:lang w:eastAsia="zh-CN"/>
        </w:rPr>
        <w:t>，</w:t>
      </w:r>
      <w:r>
        <w:rPr>
          <w:rFonts w:hAnsi="宋体"/>
          <w:sz w:val="24"/>
        </w:rPr>
        <w:t>按投标单价增减。</w:t>
      </w:r>
    </w:p>
    <w:p w14:paraId="45613261">
      <w:pPr>
        <w:snapToGrid w:val="0"/>
        <w:spacing w:line="360" w:lineRule="auto"/>
        <w:rPr>
          <w:rFonts w:hAnsi="宋体"/>
          <w:sz w:val="24"/>
        </w:rPr>
      </w:pPr>
      <w:r>
        <w:rPr>
          <w:sz w:val="24"/>
        </w:rPr>
        <w:t>1.1</w:t>
      </w:r>
      <w:r>
        <w:rPr>
          <w:rFonts w:hint="eastAsia"/>
          <w:sz w:val="24"/>
          <w:lang w:val="en-US" w:eastAsia="zh-CN"/>
        </w:rPr>
        <w:t>4</w:t>
      </w:r>
      <w:r>
        <w:rPr>
          <w:rFonts w:hint="eastAsia" w:ascii="宋体" w:hAnsi="宋体"/>
          <w:color w:val="000000"/>
          <w:spacing w:val="-4"/>
          <w:sz w:val="24"/>
          <w:lang w:eastAsia="zh-CN"/>
        </w:rPr>
        <w:t>投标人</w:t>
      </w:r>
      <w:r>
        <w:rPr>
          <w:rFonts w:hint="eastAsia" w:ascii="宋体" w:hAnsi="宋体"/>
          <w:color w:val="000000"/>
          <w:spacing w:val="-4"/>
          <w:sz w:val="24"/>
        </w:rPr>
        <w:t>应对现场大屏幕等设备</w:t>
      </w:r>
      <w:r>
        <w:rPr>
          <w:rFonts w:ascii="宋体" w:hAnsi="宋体"/>
          <w:color w:val="000000"/>
          <w:spacing w:val="-4"/>
          <w:sz w:val="24"/>
        </w:rPr>
        <w:t>的准确度、制造、集成、检验、试验、运输、安装、调试、投产等负全部责任。若该项目有分包商，除分包商应承担分包工作的责任外，系统</w:t>
      </w:r>
      <w:r>
        <w:rPr>
          <w:rFonts w:hint="eastAsia" w:ascii="宋体" w:hAnsi="宋体"/>
          <w:color w:val="000000"/>
          <w:spacing w:val="-4"/>
          <w:sz w:val="24"/>
          <w:lang w:eastAsia="zh-CN"/>
        </w:rPr>
        <w:t>投标人</w:t>
      </w:r>
      <w:r>
        <w:rPr>
          <w:rFonts w:ascii="宋体" w:hAnsi="宋体"/>
          <w:color w:val="000000"/>
          <w:spacing w:val="-4"/>
          <w:sz w:val="24"/>
        </w:rPr>
        <w:t>同时也对该部分工作负有责任，即分包商的存在并不能减少</w:t>
      </w:r>
      <w:r>
        <w:rPr>
          <w:rFonts w:hint="eastAsia" w:ascii="宋体" w:hAnsi="宋体"/>
          <w:color w:val="000000"/>
          <w:spacing w:val="-4"/>
          <w:sz w:val="24"/>
          <w:lang w:eastAsia="zh-CN"/>
        </w:rPr>
        <w:t>投标人</w:t>
      </w:r>
      <w:r>
        <w:rPr>
          <w:rFonts w:ascii="宋体" w:hAnsi="宋体"/>
          <w:color w:val="000000"/>
          <w:spacing w:val="-4"/>
          <w:sz w:val="24"/>
        </w:rPr>
        <w:t>所负的全部责任。</w:t>
      </w:r>
    </w:p>
    <w:p w14:paraId="4433B424">
      <w:pPr>
        <w:tabs>
          <w:tab w:val="left" w:pos="540"/>
        </w:tabs>
        <w:adjustRightInd w:val="0"/>
        <w:spacing w:line="360" w:lineRule="auto"/>
        <w:jc w:val="left"/>
        <w:textAlignment w:val="baseline"/>
        <w:rPr>
          <w:color w:val="000000"/>
          <w:sz w:val="24"/>
        </w:rPr>
      </w:pPr>
      <w:r>
        <w:rPr>
          <w:sz w:val="24"/>
        </w:rPr>
        <w:t>1.1</w:t>
      </w:r>
      <w:r>
        <w:rPr>
          <w:rFonts w:hint="eastAsia"/>
          <w:sz w:val="24"/>
          <w:lang w:val="en-US" w:eastAsia="zh-CN"/>
        </w:rPr>
        <w:t>5</w:t>
      </w:r>
      <w:r>
        <w:rPr>
          <w:sz w:val="24"/>
        </w:rPr>
        <w:t xml:space="preserve"> </w:t>
      </w:r>
      <w:r>
        <w:rPr>
          <w:rFonts w:hAnsi="宋体"/>
          <w:sz w:val="24"/>
        </w:rPr>
        <w:t>投标人的工作范围：</w:t>
      </w:r>
    </w:p>
    <w:p w14:paraId="0315A690">
      <w:pPr>
        <w:adjustRightInd w:val="0"/>
        <w:spacing w:line="360" w:lineRule="auto"/>
        <w:jc w:val="left"/>
        <w:textAlignment w:val="baseline"/>
        <w:rPr>
          <w:sz w:val="24"/>
        </w:rPr>
      </w:pPr>
      <w:r>
        <w:rPr>
          <w:sz w:val="24"/>
        </w:rPr>
        <w:t>1.1</w:t>
      </w:r>
      <w:r>
        <w:rPr>
          <w:rFonts w:hint="eastAsia"/>
          <w:sz w:val="24"/>
          <w:lang w:val="en-US" w:eastAsia="zh-CN"/>
        </w:rPr>
        <w:t>5</w:t>
      </w:r>
      <w:r>
        <w:rPr>
          <w:sz w:val="24"/>
        </w:rPr>
        <w:t>.1</w:t>
      </w:r>
      <w:r>
        <w:rPr>
          <w:rFonts w:hint="eastAsia"/>
          <w:sz w:val="24"/>
          <w:lang w:val="en-US" w:eastAsia="zh-CN"/>
        </w:rPr>
        <w:t xml:space="preserve"> </w:t>
      </w:r>
      <w:r>
        <w:rPr>
          <w:rFonts w:hAnsi="宋体"/>
          <w:sz w:val="24"/>
        </w:rPr>
        <w:t>投标人应提供满足本规范书要求所必需的硬件和各项服务。其中包括</w:t>
      </w:r>
      <w:r>
        <w:rPr>
          <w:sz w:val="24"/>
        </w:rPr>
        <w:t>(</w:t>
      </w:r>
      <w:r>
        <w:rPr>
          <w:rFonts w:hAnsi="宋体"/>
          <w:sz w:val="24"/>
        </w:rPr>
        <w:t>但不限于</w:t>
      </w:r>
      <w:r>
        <w:rPr>
          <w:sz w:val="24"/>
        </w:rPr>
        <w:t>)</w:t>
      </w:r>
      <w:r>
        <w:rPr>
          <w:rFonts w:hAnsi="宋体"/>
          <w:sz w:val="24"/>
        </w:rPr>
        <w:t>下列内容：</w:t>
      </w:r>
    </w:p>
    <w:p w14:paraId="5A864156">
      <w:pPr>
        <w:spacing w:line="360" w:lineRule="auto"/>
        <w:rPr>
          <w:dstrike/>
          <w:sz w:val="24"/>
        </w:rPr>
      </w:pPr>
      <w:r>
        <w:rPr>
          <w:sz w:val="24"/>
        </w:rPr>
        <w:t>1.1</w:t>
      </w:r>
      <w:r>
        <w:rPr>
          <w:rFonts w:hint="eastAsia"/>
          <w:sz w:val="24"/>
          <w:lang w:val="en-US" w:eastAsia="zh-CN"/>
        </w:rPr>
        <w:t>5</w:t>
      </w:r>
      <w:r>
        <w:rPr>
          <w:sz w:val="24"/>
        </w:rPr>
        <w:t>.1.</w:t>
      </w:r>
      <w:r>
        <w:rPr>
          <w:rFonts w:hint="eastAsia"/>
          <w:sz w:val="24"/>
        </w:rPr>
        <w:t>1</w:t>
      </w:r>
      <w:r>
        <w:rPr>
          <w:rFonts w:hint="eastAsia"/>
          <w:sz w:val="24"/>
          <w:lang w:val="en-US" w:eastAsia="zh-CN"/>
        </w:rPr>
        <w:t xml:space="preserve"> </w:t>
      </w:r>
      <w:r>
        <w:rPr>
          <w:rFonts w:hAnsi="宋体"/>
          <w:sz w:val="24"/>
        </w:rPr>
        <w:t>提供所必需的全部设备。包含但不仅限于：</w:t>
      </w:r>
      <w:r>
        <w:rPr>
          <w:rFonts w:hint="eastAsia" w:ascii="宋体" w:hAnsi="宋体"/>
          <w:color w:val="000000"/>
          <w:spacing w:val="-4"/>
          <w:sz w:val="24"/>
        </w:rPr>
        <w:t>控制器控制软件线缆</w:t>
      </w:r>
      <w:r>
        <w:rPr>
          <w:sz w:val="24"/>
        </w:rPr>
        <w:t>等。</w:t>
      </w:r>
    </w:p>
    <w:p w14:paraId="388FFEF0">
      <w:pPr>
        <w:tabs>
          <w:tab w:val="left" w:pos="0"/>
        </w:tabs>
        <w:spacing w:line="360" w:lineRule="auto"/>
        <w:rPr>
          <w:sz w:val="24"/>
        </w:rPr>
      </w:pPr>
      <w:r>
        <w:rPr>
          <w:sz w:val="24"/>
        </w:rPr>
        <w:t>1.1</w:t>
      </w:r>
      <w:r>
        <w:rPr>
          <w:rFonts w:hint="eastAsia"/>
          <w:sz w:val="24"/>
          <w:lang w:val="en-US" w:eastAsia="zh-CN"/>
        </w:rPr>
        <w:t>5</w:t>
      </w:r>
      <w:r>
        <w:rPr>
          <w:sz w:val="24"/>
        </w:rPr>
        <w:t>.1.</w:t>
      </w:r>
      <w:r>
        <w:rPr>
          <w:rFonts w:hint="eastAsia"/>
          <w:sz w:val="24"/>
        </w:rPr>
        <w:t>2</w:t>
      </w:r>
      <w:r>
        <w:rPr>
          <w:rFonts w:hint="eastAsia"/>
          <w:sz w:val="24"/>
          <w:lang w:val="en-US" w:eastAsia="zh-CN"/>
        </w:rPr>
        <w:t xml:space="preserve"> </w:t>
      </w:r>
      <w:r>
        <w:rPr>
          <w:rFonts w:hAnsi="宋体"/>
          <w:sz w:val="24"/>
        </w:rPr>
        <w:t>达到本规范书规定的全部功能要求。</w:t>
      </w:r>
    </w:p>
    <w:p w14:paraId="6D590948">
      <w:pPr>
        <w:tabs>
          <w:tab w:val="left" w:pos="0"/>
        </w:tabs>
        <w:spacing w:line="360" w:lineRule="auto"/>
        <w:rPr>
          <w:sz w:val="24"/>
        </w:rPr>
      </w:pPr>
      <w:r>
        <w:rPr>
          <w:sz w:val="24"/>
        </w:rPr>
        <w:t>1.1</w:t>
      </w:r>
      <w:r>
        <w:rPr>
          <w:rFonts w:hint="eastAsia"/>
          <w:sz w:val="24"/>
        </w:rPr>
        <w:t>7</w:t>
      </w:r>
      <w:r>
        <w:rPr>
          <w:sz w:val="24"/>
        </w:rPr>
        <w:t>.1.</w:t>
      </w:r>
      <w:r>
        <w:rPr>
          <w:rFonts w:hint="eastAsia"/>
          <w:sz w:val="24"/>
        </w:rPr>
        <w:t>3</w:t>
      </w:r>
      <w:r>
        <w:rPr>
          <w:rFonts w:hint="eastAsia"/>
          <w:sz w:val="24"/>
          <w:lang w:val="en-US" w:eastAsia="zh-CN"/>
        </w:rPr>
        <w:t xml:space="preserve"> </w:t>
      </w:r>
      <w:r>
        <w:rPr>
          <w:rFonts w:hAnsi="宋体"/>
          <w:sz w:val="24"/>
        </w:rPr>
        <w:t>按照合同规定的进度要求，按时发运</w:t>
      </w:r>
      <w:r>
        <w:rPr>
          <w:rFonts w:hint="eastAsia" w:hAnsi="宋体"/>
          <w:sz w:val="24"/>
        </w:rPr>
        <w:t>设备</w:t>
      </w:r>
      <w:r>
        <w:rPr>
          <w:sz w:val="24"/>
        </w:rPr>
        <w:t>等</w:t>
      </w:r>
      <w:r>
        <w:rPr>
          <w:rFonts w:hAnsi="宋体"/>
          <w:sz w:val="24"/>
        </w:rPr>
        <w:t>。</w:t>
      </w:r>
    </w:p>
    <w:p w14:paraId="031C8530">
      <w:pPr>
        <w:tabs>
          <w:tab w:val="left" w:pos="0"/>
        </w:tabs>
        <w:spacing w:line="360" w:lineRule="auto"/>
        <w:rPr>
          <w:sz w:val="24"/>
          <w:highlight w:val="none"/>
        </w:rPr>
      </w:pPr>
      <w:r>
        <w:rPr>
          <w:sz w:val="24"/>
        </w:rPr>
        <w:t>1.1</w:t>
      </w:r>
      <w:r>
        <w:rPr>
          <w:rFonts w:hint="eastAsia"/>
          <w:sz w:val="24"/>
          <w:lang w:val="en-US" w:eastAsia="zh-CN"/>
        </w:rPr>
        <w:t>5</w:t>
      </w:r>
      <w:r>
        <w:rPr>
          <w:sz w:val="24"/>
        </w:rPr>
        <w:t>.1.</w:t>
      </w:r>
      <w:r>
        <w:rPr>
          <w:rFonts w:hint="eastAsia"/>
          <w:sz w:val="24"/>
        </w:rPr>
        <w:t>4</w:t>
      </w:r>
      <w:r>
        <w:rPr>
          <w:rFonts w:hint="eastAsia"/>
          <w:sz w:val="24"/>
          <w:lang w:val="en-US" w:eastAsia="zh-CN"/>
        </w:rPr>
        <w:t xml:space="preserve"> </w:t>
      </w:r>
      <w:r>
        <w:rPr>
          <w:rFonts w:hAnsi="宋体"/>
          <w:sz w:val="24"/>
        </w:rPr>
        <w:t>根</w:t>
      </w:r>
      <w:r>
        <w:rPr>
          <w:rFonts w:hAnsi="宋体"/>
          <w:sz w:val="24"/>
          <w:highlight w:val="none"/>
        </w:rPr>
        <w:t>据本规范书的要求，提供详细的施工图、安装图和安装指导说明书。</w:t>
      </w:r>
    </w:p>
    <w:p w14:paraId="2445347E">
      <w:pPr>
        <w:tabs>
          <w:tab w:val="left" w:pos="0"/>
        </w:tabs>
        <w:spacing w:line="360" w:lineRule="auto"/>
        <w:rPr>
          <w:rFonts w:hint="default" w:hAnsi="宋体" w:eastAsia="宋体"/>
          <w:sz w:val="24"/>
          <w:highlight w:val="none"/>
          <w:lang w:val="en-US" w:eastAsia="zh-CN"/>
        </w:rPr>
      </w:pPr>
      <w:r>
        <w:rPr>
          <w:sz w:val="24"/>
          <w:highlight w:val="none"/>
        </w:rPr>
        <w:t>1.1</w:t>
      </w:r>
      <w:r>
        <w:rPr>
          <w:rFonts w:hint="eastAsia"/>
          <w:sz w:val="24"/>
          <w:highlight w:val="none"/>
          <w:lang w:val="en-US" w:eastAsia="zh-CN"/>
        </w:rPr>
        <w:t>5</w:t>
      </w:r>
      <w:r>
        <w:rPr>
          <w:sz w:val="24"/>
          <w:highlight w:val="none"/>
        </w:rPr>
        <w:t>.1.</w:t>
      </w:r>
      <w:r>
        <w:rPr>
          <w:rFonts w:hint="eastAsia"/>
          <w:sz w:val="24"/>
          <w:highlight w:val="none"/>
        </w:rPr>
        <w:t>5</w:t>
      </w:r>
      <w:r>
        <w:rPr>
          <w:rFonts w:hint="eastAsia"/>
          <w:sz w:val="24"/>
          <w:highlight w:val="none"/>
          <w:lang w:val="en-US" w:eastAsia="zh-CN"/>
        </w:rPr>
        <w:t xml:space="preserve"> </w:t>
      </w:r>
      <w:r>
        <w:rPr>
          <w:rFonts w:hAnsi="宋体"/>
          <w:sz w:val="24"/>
          <w:highlight w:val="none"/>
        </w:rPr>
        <w:t>在交货至安装调试周期</w:t>
      </w:r>
      <w:r>
        <w:rPr>
          <w:rFonts w:hint="eastAsia" w:hAnsi="宋体"/>
          <w:sz w:val="24"/>
          <w:highlight w:val="none"/>
          <w:lang w:eastAsia="zh-CN"/>
        </w:rPr>
        <w:t>（</w:t>
      </w:r>
      <w:r>
        <w:rPr>
          <w:rFonts w:hint="eastAsia" w:hAnsi="宋体"/>
          <w:sz w:val="24"/>
          <w:highlight w:val="none"/>
          <w:lang w:val="en-US" w:eastAsia="zh-CN"/>
        </w:rPr>
        <w:t>本项目新集控搬迁时间预计为2027年春节期间，新建机组各系统接入大屏时间预计2027年5月</w:t>
      </w:r>
      <w:r>
        <w:rPr>
          <w:rFonts w:hint="eastAsia" w:hAnsi="宋体"/>
          <w:sz w:val="24"/>
          <w:highlight w:val="none"/>
          <w:lang w:eastAsia="zh-CN"/>
        </w:rPr>
        <w:t>）</w:t>
      </w:r>
      <w:r>
        <w:rPr>
          <w:rFonts w:hAnsi="宋体"/>
          <w:sz w:val="24"/>
          <w:highlight w:val="none"/>
        </w:rPr>
        <w:t>内应派工代驻厂，负责协调各分包商到货和验收等事务，并负责安装、调试指导等服务，达到规定的全部功能要求。</w:t>
      </w:r>
    </w:p>
    <w:p w14:paraId="47DF6675">
      <w:pPr>
        <w:snapToGrid w:val="0"/>
        <w:spacing w:line="360" w:lineRule="auto"/>
        <w:rPr>
          <w:rFonts w:ascii="宋体" w:hAnsi="宋体"/>
          <w:color w:val="FF0000"/>
          <w:sz w:val="24"/>
          <w:highlight w:val="none"/>
        </w:rPr>
      </w:pPr>
      <w:r>
        <w:rPr>
          <w:sz w:val="24"/>
          <w:highlight w:val="none"/>
        </w:rPr>
        <w:t>1.1</w:t>
      </w:r>
      <w:r>
        <w:rPr>
          <w:rFonts w:hint="eastAsia"/>
          <w:sz w:val="24"/>
          <w:highlight w:val="none"/>
          <w:lang w:val="en-US" w:eastAsia="zh-CN"/>
        </w:rPr>
        <w:t>5</w:t>
      </w:r>
      <w:r>
        <w:rPr>
          <w:sz w:val="24"/>
          <w:highlight w:val="none"/>
        </w:rPr>
        <w:t>.</w:t>
      </w:r>
      <w:r>
        <w:rPr>
          <w:rFonts w:hint="eastAsia"/>
          <w:sz w:val="24"/>
          <w:highlight w:val="none"/>
        </w:rPr>
        <w:t>2</w:t>
      </w:r>
      <w:r>
        <w:rPr>
          <w:rFonts w:hint="eastAsia"/>
          <w:sz w:val="24"/>
          <w:highlight w:val="none"/>
          <w:lang w:val="en-US" w:eastAsia="zh-CN"/>
        </w:rPr>
        <w:t xml:space="preserve"> </w:t>
      </w:r>
      <w:r>
        <w:rPr>
          <w:rFonts w:hint="eastAsia" w:ascii="宋体" w:hAnsi="宋体" w:cs="Arial"/>
          <w:color w:val="000000"/>
          <w:sz w:val="24"/>
          <w:highlight w:val="none"/>
        </w:rPr>
        <w:t>在本项目中采用的产品，必须在投标文件中详细说明并经业主批准。对分包商的资质和业绩要求相同。分包商所承担的工作的全部责任由</w:t>
      </w:r>
      <w:r>
        <w:rPr>
          <w:rFonts w:hint="eastAsia" w:ascii="宋体" w:hAnsi="宋体" w:cs="Arial"/>
          <w:color w:val="000000"/>
          <w:sz w:val="24"/>
          <w:highlight w:val="none"/>
          <w:lang w:eastAsia="zh-CN"/>
        </w:rPr>
        <w:t>投标人</w:t>
      </w:r>
      <w:r>
        <w:rPr>
          <w:rFonts w:hint="eastAsia" w:ascii="宋体" w:hAnsi="宋体" w:cs="Arial"/>
          <w:color w:val="000000"/>
          <w:sz w:val="24"/>
          <w:highlight w:val="none"/>
        </w:rPr>
        <w:t>负责。</w:t>
      </w:r>
    </w:p>
    <w:p w14:paraId="27341141">
      <w:pPr>
        <w:spacing w:line="360" w:lineRule="auto"/>
        <w:rPr>
          <w:rFonts w:ascii="宋体" w:hAnsi="宋体" w:cs="Arial"/>
          <w:color w:val="000000"/>
          <w:sz w:val="24"/>
          <w:highlight w:val="none"/>
        </w:rPr>
      </w:pPr>
      <w:r>
        <w:rPr>
          <w:sz w:val="24"/>
          <w:highlight w:val="none"/>
        </w:rPr>
        <w:t>1.1</w:t>
      </w:r>
      <w:r>
        <w:rPr>
          <w:rFonts w:hint="eastAsia"/>
          <w:sz w:val="24"/>
          <w:highlight w:val="none"/>
          <w:lang w:val="en-US" w:eastAsia="zh-CN"/>
        </w:rPr>
        <w:t>5</w:t>
      </w:r>
      <w:r>
        <w:rPr>
          <w:sz w:val="24"/>
          <w:highlight w:val="none"/>
        </w:rPr>
        <w:t>.</w:t>
      </w:r>
      <w:r>
        <w:rPr>
          <w:rFonts w:hint="eastAsia"/>
          <w:sz w:val="24"/>
          <w:highlight w:val="none"/>
        </w:rPr>
        <w:t>3</w:t>
      </w:r>
      <w:r>
        <w:rPr>
          <w:rFonts w:hint="eastAsia"/>
          <w:sz w:val="24"/>
          <w:highlight w:val="none"/>
          <w:lang w:val="en-US" w:eastAsia="zh-CN"/>
        </w:rPr>
        <w:t xml:space="preserve"> </w:t>
      </w:r>
      <w:r>
        <w:rPr>
          <w:rFonts w:hint="eastAsia" w:ascii="宋体" w:hAnsi="宋体" w:cs="Arial"/>
          <w:color w:val="000000"/>
          <w:sz w:val="24"/>
          <w:highlight w:val="none"/>
          <w:lang w:eastAsia="zh-CN"/>
        </w:rPr>
        <w:t>投标人</w:t>
      </w:r>
      <w:r>
        <w:rPr>
          <w:rFonts w:hint="eastAsia" w:ascii="宋体" w:hAnsi="宋体" w:cs="Arial"/>
          <w:color w:val="000000"/>
          <w:sz w:val="24"/>
          <w:highlight w:val="none"/>
        </w:rPr>
        <w:t>应对其供货范围内</w:t>
      </w:r>
      <w:r>
        <w:rPr>
          <w:rFonts w:hint="eastAsia" w:ascii="宋体" w:hAnsi="宋体"/>
          <w:color w:val="000000"/>
          <w:sz w:val="24"/>
          <w:highlight w:val="none"/>
        </w:rPr>
        <w:t>LED屏幕、视频拼接控制器等</w:t>
      </w:r>
      <w:r>
        <w:rPr>
          <w:rFonts w:hint="eastAsia" w:ascii="宋体" w:hAnsi="宋体"/>
          <w:bCs/>
          <w:color w:val="000000"/>
          <w:sz w:val="24"/>
          <w:highlight w:val="none"/>
        </w:rPr>
        <w:t>设备</w:t>
      </w:r>
      <w:r>
        <w:rPr>
          <w:rFonts w:hint="eastAsia" w:ascii="宋体" w:hAnsi="宋体" w:cs="Arial"/>
          <w:color w:val="000000"/>
          <w:sz w:val="24"/>
          <w:highlight w:val="none"/>
        </w:rPr>
        <w:t>的功能性负责。</w:t>
      </w:r>
    </w:p>
    <w:p w14:paraId="3E206FA2">
      <w:pPr>
        <w:spacing w:line="360" w:lineRule="auto"/>
        <w:rPr>
          <w:rFonts w:ascii="宋体" w:hAnsi="宋体" w:cs="Arial"/>
          <w:color w:val="000000"/>
          <w:sz w:val="24"/>
          <w:highlight w:val="none"/>
        </w:rPr>
      </w:pPr>
      <w:r>
        <w:rPr>
          <w:sz w:val="24"/>
          <w:highlight w:val="none"/>
        </w:rPr>
        <w:t>1.1</w:t>
      </w:r>
      <w:r>
        <w:rPr>
          <w:rFonts w:hint="eastAsia"/>
          <w:sz w:val="24"/>
          <w:highlight w:val="none"/>
          <w:lang w:val="en-US" w:eastAsia="zh-CN"/>
        </w:rPr>
        <w:t>5</w:t>
      </w:r>
      <w:r>
        <w:rPr>
          <w:sz w:val="24"/>
          <w:highlight w:val="none"/>
        </w:rPr>
        <w:t>.</w:t>
      </w:r>
      <w:r>
        <w:rPr>
          <w:rFonts w:hint="eastAsia"/>
          <w:sz w:val="24"/>
          <w:highlight w:val="none"/>
        </w:rPr>
        <w:t>4</w:t>
      </w:r>
      <w:r>
        <w:rPr>
          <w:rFonts w:hint="eastAsia"/>
          <w:sz w:val="24"/>
          <w:highlight w:val="none"/>
          <w:lang w:val="en-US" w:eastAsia="zh-CN"/>
        </w:rPr>
        <w:t xml:space="preserve"> </w:t>
      </w:r>
      <w:r>
        <w:rPr>
          <w:rFonts w:hint="eastAsia" w:ascii="宋体" w:hAnsi="宋体" w:cs="Arial"/>
          <w:color w:val="000000"/>
          <w:sz w:val="24"/>
          <w:highlight w:val="none"/>
        </w:rPr>
        <w:t>技术规格书规定了对</w:t>
      </w:r>
      <w:r>
        <w:rPr>
          <w:rFonts w:hint="eastAsia" w:ascii="宋体" w:hAnsi="宋体"/>
          <w:color w:val="000000"/>
          <w:sz w:val="24"/>
          <w:highlight w:val="none"/>
        </w:rPr>
        <w:t>现场LED屏幕、视频拼接控制器、操作台等</w:t>
      </w:r>
      <w:r>
        <w:rPr>
          <w:rFonts w:hint="eastAsia" w:ascii="宋体" w:hAnsi="宋体"/>
          <w:bCs/>
          <w:color w:val="000000"/>
          <w:sz w:val="24"/>
          <w:highlight w:val="none"/>
        </w:rPr>
        <w:t>设备</w:t>
      </w:r>
      <w:r>
        <w:rPr>
          <w:rFonts w:hint="eastAsia" w:ascii="宋体" w:hAnsi="宋体" w:cs="Arial"/>
          <w:color w:val="000000"/>
          <w:sz w:val="24"/>
          <w:highlight w:val="none"/>
        </w:rPr>
        <w:t>的最低要求，但并不意味着免除</w:t>
      </w:r>
      <w:r>
        <w:rPr>
          <w:rFonts w:hint="eastAsia" w:ascii="宋体" w:hAnsi="宋体" w:cs="Arial"/>
          <w:color w:val="000000"/>
          <w:sz w:val="24"/>
          <w:highlight w:val="none"/>
          <w:lang w:eastAsia="zh-CN"/>
        </w:rPr>
        <w:t>投标人</w:t>
      </w:r>
      <w:r>
        <w:rPr>
          <w:rFonts w:hint="eastAsia" w:ascii="宋体" w:hAnsi="宋体" w:cs="Arial"/>
          <w:color w:val="000000"/>
          <w:sz w:val="24"/>
          <w:highlight w:val="none"/>
        </w:rPr>
        <w:t>合理选型、制造、集成</w:t>
      </w:r>
      <w:r>
        <w:rPr>
          <w:rFonts w:hint="eastAsia" w:ascii="宋体" w:hAnsi="宋体"/>
          <w:color w:val="000000"/>
          <w:sz w:val="24"/>
          <w:highlight w:val="none"/>
        </w:rPr>
        <w:t>LED屏幕等</w:t>
      </w:r>
      <w:r>
        <w:rPr>
          <w:rFonts w:hint="eastAsia" w:ascii="宋体" w:hAnsi="宋体"/>
          <w:bCs/>
          <w:color w:val="000000"/>
          <w:sz w:val="24"/>
          <w:highlight w:val="none"/>
        </w:rPr>
        <w:t>设备</w:t>
      </w:r>
      <w:r>
        <w:rPr>
          <w:rFonts w:hint="eastAsia" w:ascii="宋体" w:hAnsi="宋体" w:cs="Arial"/>
          <w:color w:val="000000"/>
          <w:sz w:val="24"/>
          <w:highlight w:val="none"/>
        </w:rPr>
        <w:t>以及相关设备的责任。</w:t>
      </w:r>
    </w:p>
    <w:p w14:paraId="45716CAE">
      <w:pPr>
        <w:spacing w:line="360" w:lineRule="auto"/>
        <w:rPr>
          <w:rFonts w:ascii="宋体" w:hAnsi="宋体" w:cs="Arial"/>
          <w:color w:val="000000"/>
          <w:sz w:val="24"/>
          <w:highlight w:val="none"/>
        </w:rPr>
      </w:pPr>
      <w:r>
        <w:rPr>
          <w:sz w:val="24"/>
          <w:highlight w:val="none"/>
        </w:rPr>
        <w:t>1.1</w:t>
      </w:r>
      <w:r>
        <w:rPr>
          <w:rFonts w:hint="eastAsia"/>
          <w:sz w:val="24"/>
          <w:highlight w:val="none"/>
          <w:lang w:val="en-US" w:eastAsia="zh-CN"/>
        </w:rPr>
        <w:t>5</w:t>
      </w:r>
      <w:r>
        <w:rPr>
          <w:sz w:val="24"/>
          <w:highlight w:val="none"/>
        </w:rPr>
        <w:t>.</w:t>
      </w:r>
      <w:r>
        <w:rPr>
          <w:rFonts w:hint="eastAsia"/>
          <w:sz w:val="24"/>
          <w:highlight w:val="none"/>
        </w:rPr>
        <w:t>5</w:t>
      </w:r>
      <w:r>
        <w:rPr>
          <w:rFonts w:hint="eastAsia"/>
          <w:sz w:val="24"/>
          <w:highlight w:val="none"/>
          <w:lang w:val="en-US" w:eastAsia="zh-CN"/>
        </w:rPr>
        <w:t xml:space="preserve"> </w:t>
      </w:r>
      <w:r>
        <w:rPr>
          <w:rFonts w:hint="eastAsia" w:ascii="宋体" w:hAnsi="宋体" w:cs="Arial"/>
          <w:color w:val="000000"/>
          <w:sz w:val="24"/>
          <w:highlight w:val="none"/>
          <w:lang w:eastAsia="zh-CN"/>
        </w:rPr>
        <w:t>投标人</w:t>
      </w:r>
      <w:r>
        <w:rPr>
          <w:rFonts w:hint="eastAsia" w:ascii="宋体" w:hAnsi="宋体" w:cs="Arial"/>
          <w:color w:val="000000"/>
          <w:sz w:val="24"/>
          <w:highlight w:val="none"/>
        </w:rPr>
        <w:t>对所供</w:t>
      </w:r>
      <w:r>
        <w:rPr>
          <w:rFonts w:hint="eastAsia" w:ascii="宋体" w:hAnsi="宋体"/>
          <w:color w:val="000000"/>
          <w:sz w:val="24"/>
          <w:highlight w:val="none"/>
        </w:rPr>
        <w:t>LED屏幕、视频拼接控制器、操作台等</w:t>
      </w:r>
      <w:r>
        <w:rPr>
          <w:rFonts w:hint="eastAsia" w:ascii="宋体" w:hAnsi="宋体"/>
          <w:bCs/>
          <w:color w:val="000000"/>
          <w:sz w:val="24"/>
          <w:highlight w:val="none"/>
        </w:rPr>
        <w:t>设备</w:t>
      </w:r>
      <w:r>
        <w:rPr>
          <w:rFonts w:hint="eastAsia" w:ascii="宋体" w:hAnsi="宋体" w:cs="Arial"/>
          <w:color w:val="000000"/>
          <w:sz w:val="24"/>
          <w:highlight w:val="none"/>
        </w:rPr>
        <w:t>负有全部责任。这包括选型、制造、集成、组装、设备测试与验收、包装运输、现场安装、工厂验收、试运行等各个环节。</w:t>
      </w:r>
    </w:p>
    <w:p w14:paraId="767EE6CB">
      <w:pPr>
        <w:spacing w:line="360" w:lineRule="auto"/>
        <w:rPr>
          <w:rFonts w:ascii="宋体" w:hAnsi="宋体"/>
          <w:color w:val="000000"/>
          <w:sz w:val="24"/>
          <w:highlight w:val="none"/>
        </w:rPr>
      </w:pPr>
      <w:r>
        <w:rPr>
          <w:sz w:val="24"/>
          <w:highlight w:val="none"/>
        </w:rPr>
        <w:t>1.1</w:t>
      </w:r>
      <w:r>
        <w:rPr>
          <w:rFonts w:hint="eastAsia"/>
          <w:sz w:val="24"/>
          <w:highlight w:val="none"/>
          <w:lang w:val="en-US" w:eastAsia="zh-CN"/>
        </w:rPr>
        <w:t>5</w:t>
      </w:r>
      <w:r>
        <w:rPr>
          <w:sz w:val="24"/>
          <w:highlight w:val="none"/>
        </w:rPr>
        <w:t>.</w:t>
      </w:r>
      <w:r>
        <w:rPr>
          <w:rFonts w:hint="eastAsia"/>
          <w:sz w:val="24"/>
          <w:highlight w:val="none"/>
        </w:rPr>
        <w:t>6</w:t>
      </w:r>
      <w:r>
        <w:rPr>
          <w:rFonts w:hint="eastAsia"/>
          <w:sz w:val="24"/>
          <w:highlight w:val="none"/>
          <w:lang w:val="en-US" w:eastAsia="zh-CN"/>
        </w:rPr>
        <w:t xml:space="preserve"> </w:t>
      </w:r>
      <w:r>
        <w:rPr>
          <w:rFonts w:hint="eastAsia" w:ascii="宋体" w:hAnsi="宋体" w:cs="Arial"/>
          <w:color w:val="000000"/>
          <w:sz w:val="24"/>
          <w:highlight w:val="none"/>
          <w:lang w:eastAsia="zh-CN"/>
        </w:rPr>
        <w:t>投标人</w:t>
      </w:r>
      <w:r>
        <w:rPr>
          <w:rFonts w:hint="eastAsia" w:ascii="宋体" w:hAnsi="宋体" w:cs="Arial"/>
          <w:color w:val="000000"/>
          <w:sz w:val="24"/>
          <w:highlight w:val="none"/>
        </w:rPr>
        <w:t>提供</w:t>
      </w:r>
      <w:r>
        <w:rPr>
          <w:rFonts w:hint="eastAsia" w:ascii="宋体" w:hAnsi="宋体"/>
          <w:color w:val="000000"/>
          <w:sz w:val="24"/>
          <w:highlight w:val="none"/>
        </w:rPr>
        <w:t>的LED屏幕、视频拼接控制器、操作台等</w:t>
      </w:r>
      <w:r>
        <w:rPr>
          <w:rFonts w:hint="eastAsia" w:ascii="宋体" w:hAnsi="宋体"/>
          <w:bCs/>
          <w:color w:val="000000"/>
          <w:sz w:val="24"/>
          <w:highlight w:val="none"/>
        </w:rPr>
        <w:t>设备</w:t>
      </w:r>
      <w:r>
        <w:rPr>
          <w:rFonts w:hint="eastAsia" w:ascii="宋体" w:hAnsi="宋体" w:cs="Arial"/>
          <w:color w:val="000000"/>
          <w:sz w:val="24"/>
          <w:highlight w:val="none"/>
        </w:rPr>
        <w:t>应为经过实践检</w:t>
      </w:r>
      <w:r>
        <w:rPr>
          <w:rFonts w:hint="eastAsia" w:ascii="宋体" w:hAnsi="宋体"/>
          <w:color w:val="000000"/>
          <w:sz w:val="24"/>
          <w:highlight w:val="none"/>
        </w:rPr>
        <w:t>验的、合格的并长期应用于本项目类似工程、成熟的国际著名产品。</w:t>
      </w:r>
    </w:p>
    <w:p w14:paraId="32C19548">
      <w:pPr>
        <w:spacing w:line="360" w:lineRule="auto"/>
        <w:rPr>
          <w:rFonts w:hint="eastAsia" w:ascii="宋体" w:hAnsi="宋体"/>
          <w:color w:val="000000"/>
          <w:sz w:val="24"/>
          <w:highlight w:val="none"/>
        </w:rPr>
      </w:pPr>
      <w:r>
        <w:rPr>
          <w:rFonts w:hint="eastAsia" w:ascii="宋体" w:hAnsi="宋体"/>
          <w:color w:val="000000"/>
          <w:sz w:val="24"/>
          <w:highlight w:val="none"/>
        </w:rPr>
        <w:t>1.1</w:t>
      </w:r>
      <w:r>
        <w:rPr>
          <w:rFonts w:hint="eastAsia" w:ascii="宋体" w:hAnsi="宋体"/>
          <w:color w:val="000000"/>
          <w:sz w:val="24"/>
          <w:highlight w:val="none"/>
          <w:lang w:val="en-US" w:eastAsia="zh-CN"/>
        </w:rPr>
        <w:t>5</w:t>
      </w:r>
      <w:r>
        <w:rPr>
          <w:rFonts w:hint="eastAsia" w:ascii="宋体" w:hAnsi="宋体"/>
          <w:color w:val="000000"/>
          <w:sz w:val="24"/>
          <w:highlight w:val="none"/>
        </w:rPr>
        <w:t>.7</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所有产品在中国境内应有售后服务和备品备件的保证能力。</w:t>
      </w:r>
    </w:p>
    <w:p w14:paraId="277E8656">
      <w:pPr>
        <w:spacing w:line="360" w:lineRule="auto"/>
        <w:rPr>
          <w:rFonts w:hint="default" w:ascii="宋体" w:hAnsi="宋体" w:eastAsia="宋体"/>
          <w:color w:val="000000"/>
          <w:sz w:val="24"/>
          <w:highlight w:val="none"/>
          <w:lang w:val="en-US" w:eastAsia="zh-CN"/>
        </w:rPr>
      </w:pPr>
      <w:r>
        <w:rPr>
          <w:rFonts w:hint="eastAsia" w:ascii="宋体" w:hAnsi="宋体"/>
          <w:color w:val="000000"/>
          <w:sz w:val="24"/>
          <w:highlight w:val="none"/>
          <w:lang w:val="en-US" w:eastAsia="zh-CN"/>
        </w:rPr>
        <w:t xml:space="preserve">1.15.8 </w:t>
      </w:r>
      <w:r>
        <w:rPr>
          <w:sz w:val="24"/>
          <w:highlight w:val="none"/>
        </w:rPr>
        <w:t>视频信号主要为</w:t>
      </w:r>
      <w:r>
        <w:rPr>
          <w:rFonts w:hint="eastAsia"/>
          <w:sz w:val="24"/>
          <w:highlight w:val="none"/>
          <w:lang w:eastAsia="zh-CN"/>
        </w:rPr>
        <w:t>招标人</w:t>
      </w:r>
      <w:r>
        <w:rPr>
          <w:sz w:val="24"/>
          <w:highlight w:val="none"/>
        </w:rPr>
        <w:t>各监控系统和</w:t>
      </w:r>
      <w:r>
        <w:rPr>
          <w:rFonts w:hint="eastAsia"/>
          <w:sz w:val="24"/>
          <w:highlight w:val="none"/>
        </w:rPr>
        <w:t>DCS控制系统等</w:t>
      </w:r>
      <w:r>
        <w:rPr>
          <w:sz w:val="24"/>
          <w:highlight w:val="none"/>
        </w:rPr>
        <w:t>，信号源由</w:t>
      </w:r>
      <w:r>
        <w:rPr>
          <w:rFonts w:hint="eastAsia"/>
          <w:sz w:val="24"/>
          <w:highlight w:val="none"/>
          <w:lang w:eastAsia="zh-CN"/>
        </w:rPr>
        <w:t>招标人</w:t>
      </w:r>
      <w:r>
        <w:rPr>
          <w:sz w:val="24"/>
          <w:highlight w:val="none"/>
        </w:rPr>
        <w:t>提供，</w:t>
      </w:r>
      <w:r>
        <w:rPr>
          <w:rFonts w:hint="eastAsia" w:ascii="宋体" w:hAnsi="宋体" w:cs="Arial"/>
          <w:color w:val="000000"/>
          <w:sz w:val="24"/>
          <w:highlight w:val="none"/>
          <w:lang w:eastAsia="zh-CN"/>
        </w:rPr>
        <w:t>投标人</w:t>
      </w:r>
      <w:r>
        <w:rPr>
          <w:sz w:val="24"/>
          <w:highlight w:val="none"/>
        </w:rPr>
        <w:t>负责提供信息处理设备，用于接收来自各监控系统和操作员站计算机的视频信号，并按要求处理后输出至电视墙大屏幕进行显示，集控室内至DCS、</w:t>
      </w:r>
      <w:r>
        <w:rPr>
          <w:rFonts w:hint="eastAsia"/>
          <w:sz w:val="24"/>
          <w:highlight w:val="none"/>
        </w:rPr>
        <w:t>安防视频监控</w:t>
      </w:r>
      <w:r>
        <w:rPr>
          <w:sz w:val="24"/>
          <w:highlight w:val="none"/>
        </w:rPr>
        <w:t>等系统的信号电缆由</w:t>
      </w:r>
      <w:r>
        <w:rPr>
          <w:rFonts w:hint="eastAsia" w:ascii="宋体" w:hAnsi="宋体" w:cs="Arial"/>
          <w:color w:val="000000"/>
          <w:sz w:val="24"/>
          <w:highlight w:val="none"/>
          <w:lang w:eastAsia="zh-CN"/>
        </w:rPr>
        <w:t>投标人</w:t>
      </w:r>
      <w:r>
        <w:rPr>
          <w:sz w:val="24"/>
          <w:highlight w:val="none"/>
        </w:rPr>
        <w:t>提供</w:t>
      </w:r>
      <w:r>
        <w:rPr>
          <w:rFonts w:hint="eastAsia"/>
          <w:sz w:val="24"/>
          <w:highlight w:val="none"/>
        </w:rPr>
        <w:t>（含集控室搬迁老厂交互部分）</w:t>
      </w:r>
      <w:r>
        <w:rPr>
          <w:sz w:val="24"/>
          <w:highlight w:val="none"/>
        </w:rPr>
        <w:t>。</w:t>
      </w:r>
      <w:r>
        <w:rPr>
          <w:rFonts w:hint="eastAsia" w:ascii="宋体" w:hAnsi="宋体" w:cs="宋体"/>
          <w:color w:val="000000"/>
          <w:spacing w:val="-4"/>
          <w:sz w:val="24"/>
          <w:szCs w:val="24"/>
          <w:highlight w:val="none"/>
        </w:rPr>
        <w:t>因大屏投运早于新建机组</w:t>
      </w:r>
      <w:r>
        <w:rPr>
          <w:rFonts w:hint="eastAsia" w:ascii="宋体" w:hAnsi="宋体" w:cs="宋体"/>
          <w:color w:val="000000"/>
          <w:spacing w:val="-4"/>
          <w:sz w:val="24"/>
          <w:szCs w:val="24"/>
          <w:highlight w:val="none"/>
          <w:lang w:eastAsia="zh-CN"/>
        </w:rPr>
        <w:t>（</w:t>
      </w:r>
      <w:r>
        <w:rPr>
          <w:rFonts w:hint="eastAsia" w:ascii="宋体" w:hAnsi="宋体" w:cs="宋体"/>
          <w:color w:val="000000"/>
          <w:spacing w:val="-4"/>
          <w:sz w:val="24"/>
          <w:szCs w:val="24"/>
          <w:highlight w:val="none"/>
          <w:lang w:val="en-US" w:eastAsia="zh-CN"/>
        </w:rPr>
        <w:t>预计2027年春节期间</w:t>
      </w:r>
      <w:r>
        <w:rPr>
          <w:rFonts w:hint="eastAsia" w:ascii="宋体" w:hAnsi="宋体" w:cs="宋体"/>
          <w:color w:val="000000"/>
          <w:spacing w:val="-4"/>
          <w:sz w:val="24"/>
          <w:szCs w:val="24"/>
          <w:highlight w:val="none"/>
          <w:lang w:eastAsia="zh-CN"/>
        </w:rPr>
        <w:t>）</w:t>
      </w:r>
      <w:r>
        <w:rPr>
          <w:rFonts w:hint="eastAsia" w:ascii="宋体" w:hAnsi="宋体" w:cs="宋体"/>
          <w:color w:val="000000"/>
          <w:spacing w:val="-4"/>
          <w:sz w:val="24"/>
          <w:szCs w:val="24"/>
          <w:highlight w:val="none"/>
        </w:rPr>
        <w:t>，故老厂DCS</w:t>
      </w:r>
      <w:r>
        <w:rPr>
          <w:rFonts w:hint="eastAsia" w:ascii="宋体" w:hAnsi="宋体" w:cs="宋体"/>
          <w:color w:val="000000"/>
          <w:spacing w:val="-4"/>
          <w:sz w:val="24"/>
          <w:szCs w:val="24"/>
          <w:highlight w:val="none"/>
          <w:lang w:val="en-US" w:eastAsia="zh-CN"/>
        </w:rPr>
        <w:t>等主要系统</w:t>
      </w:r>
      <w:r>
        <w:rPr>
          <w:rFonts w:hint="eastAsia" w:ascii="宋体" w:hAnsi="宋体" w:cs="宋体"/>
          <w:color w:val="000000"/>
          <w:spacing w:val="-4"/>
          <w:sz w:val="24"/>
          <w:szCs w:val="24"/>
          <w:highlight w:val="none"/>
        </w:rPr>
        <w:t>数据需先</w:t>
      </w:r>
      <w:r>
        <w:rPr>
          <w:rFonts w:hint="eastAsia" w:ascii="宋体" w:hAnsi="宋体" w:cs="宋体"/>
          <w:color w:val="000000"/>
          <w:spacing w:val="-4"/>
          <w:sz w:val="24"/>
          <w:szCs w:val="24"/>
          <w:highlight w:val="none"/>
          <w:lang w:val="en-US" w:eastAsia="zh-CN"/>
        </w:rPr>
        <w:t>投</w:t>
      </w:r>
      <w:r>
        <w:rPr>
          <w:rFonts w:hint="eastAsia" w:ascii="宋体" w:hAnsi="宋体" w:cs="宋体"/>
          <w:color w:val="000000"/>
          <w:spacing w:val="-4"/>
          <w:sz w:val="24"/>
          <w:szCs w:val="24"/>
          <w:highlight w:val="none"/>
        </w:rPr>
        <w:t>入大屏</w:t>
      </w:r>
      <w:r>
        <w:rPr>
          <w:rFonts w:hint="eastAsia" w:ascii="宋体" w:hAnsi="宋体" w:cs="宋体"/>
          <w:color w:val="000000"/>
          <w:spacing w:val="-4"/>
          <w:sz w:val="24"/>
          <w:szCs w:val="24"/>
          <w:highlight w:val="none"/>
          <w:lang w:val="en-US" w:eastAsia="zh-CN"/>
        </w:rPr>
        <w:t>使用，老厂各系统需投入的</w:t>
      </w:r>
      <w:r>
        <w:rPr>
          <w:sz w:val="24"/>
          <w:highlight w:val="none"/>
        </w:rPr>
        <w:t>信号源由</w:t>
      </w:r>
      <w:r>
        <w:rPr>
          <w:rFonts w:hint="eastAsia"/>
          <w:sz w:val="24"/>
          <w:highlight w:val="none"/>
          <w:lang w:val="en-US" w:eastAsia="zh-CN"/>
        </w:rPr>
        <w:t>用户方</w:t>
      </w:r>
      <w:r>
        <w:rPr>
          <w:sz w:val="24"/>
          <w:highlight w:val="none"/>
        </w:rPr>
        <w:t>提供</w:t>
      </w:r>
      <w:r>
        <w:rPr>
          <w:rFonts w:hint="eastAsia" w:ascii="宋体" w:hAnsi="宋体" w:cs="宋体"/>
          <w:color w:val="000000"/>
          <w:spacing w:val="-4"/>
          <w:sz w:val="24"/>
          <w:szCs w:val="24"/>
          <w:highlight w:val="none"/>
        </w:rPr>
        <w:t>。投标人应</w:t>
      </w:r>
      <w:r>
        <w:rPr>
          <w:rFonts w:hint="eastAsia" w:ascii="宋体" w:hAnsi="宋体" w:cs="宋体"/>
          <w:color w:val="000000"/>
          <w:spacing w:val="-4"/>
          <w:sz w:val="24"/>
          <w:szCs w:val="24"/>
          <w:highlight w:val="none"/>
          <w:lang w:val="en-US" w:eastAsia="zh-CN"/>
        </w:rPr>
        <w:t>考虑</w:t>
      </w:r>
      <w:r>
        <w:rPr>
          <w:rFonts w:hint="eastAsia" w:ascii="宋体" w:hAnsi="宋体" w:cs="宋体"/>
          <w:color w:val="000000"/>
          <w:spacing w:val="-4"/>
          <w:sz w:val="24"/>
          <w:szCs w:val="24"/>
          <w:highlight w:val="none"/>
        </w:rPr>
        <w:t>老厂内现</w:t>
      </w:r>
      <w:r>
        <w:rPr>
          <w:rFonts w:hint="eastAsia" w:ascii="宋体" w:hAnsi="宋体" w:cs="宋体"/>
          <w:color w:val="000000"/>
          <w:spacing w:val="-4"/>
          <w:sz w:val="24"/>
          <w:szCs w:val="24"/>
          <w:highlight w:val="none"/>
          <w:lang w:val="en-US" w:eastAsia="zh-CN"/>
        </w:rPr>
        <w:t>有</w:t>
      </w:r>
      <w:r>
        <w:rPr>
          <w:rFonts w:hint="eastAsia" w:ascii="宋体" w:hAnsi="宋体" w:cs="宋体"/>
          <w:color w:val="000000"/>
          <w:spacing w:val="-4"/>
          <w:sz w:val="24"/>
          <w:szCs w:val="24"/>
          <w:highlight w:val="none"/>
        </w:rPr>
        <w:t>DCS系统（南京科远）</w:t>
      </w:r>
      <w:r>
        <w:rPr>
          <w:rFonts w:hint="eastAsia" w:ascii="宋体" w:hAnsi="宋体" w:cs="宋体"/>
          <w:color w:val="000000"/>
          <w:spacing w:val="-4"/>
          <w:sz w:val="24"/>
          <w:szCs w:val="24"/>
          <w:highlight w:val="none"/>
          <w:lang w:eastAsia="zh-CN"/>
        </w:rPr>
        <w:t>、</w:t>
      </w:r>
      <w:r>
        <w:rPr>
          <w:rFonts w:hint="default"/>
          <w:sz w:val="24"/>
          <w:highlight w:val="none"/>
        </w:rPr>
        <w:t>安防系统</w:t>
      </w:r>
      <w:r>
        <w:rPr>
          <w:rFonts w:hint="eastAsia"/>
          <w:sz w:val="24"/>
          <w:highlight w:val="none"/>
        </w:rPr>
        <w:t>（浙江大华）</w:t>
      </w:r>
      <w:r>
        <w:rPr>
          <w:rFonts w:hint="eastAsia" w:ascii="宋体" w:hAnsi="宋体" w:cs="宋体"/>
          <w:color w:val="000000"/>
          <w:spacing w:val="-4"/>
          <w:sz w:val="24"/>
          <w:szCs w:val="24"/>
          <w:highlight w:val="none"/>
          <w:lang w:val="en-US" w:eastAsia="zh-CN"/>
        </w:rPr>
        <w:t>技术层面上的兼容性，</w:t>
      </w:r>
      <w:r>
        <w:rPr>
          <w:rFonts w:hint="eastAsia" w:ascii="宋体" w:hAnsi="宋体" w:cs="宋体"/>
          <w:color w:val="000000"/>
          <w:spacing w:val="-4"/>
          <w:sz w:val="24"/>
          <w:szCs w:val="24"/>
          <w:highlight w:val="none"/>
        </w:rPr>
        <w:t>确保</w:t>
      </w:r>
      <w:r>
        <w:rPr>
          <w:rFonts w:hint="eastAsia" w:ascii="宋体" w:hAnsi="宋体" w:cs="宋体"/>
          <w:color w:val="000000"/>
          <w:spacing w:val="-4"/>
          <w:sz w:val="24"/>
          <w:szCs w:val="24"/>
          <w:highlight w:val="none"/>
          <w:lang w:val="en-US" w:eastAsia="zh-CN"/>
        </w:rPr>
        <w:t>各系统</w:t>
      </w:r>
      <w:r>
        <w:rPr>
          <w:rFonts w:hint="eastAsia" w:ascii="宋体" w:hAnsi="宋体" w:cs="宋体"/>
          <w:color w:val="000000"/>
          <w:spacing w:val="-4"/>
          <w:sz w:val="24"/>
          <w:szCs w:val="24"/>
          <w:highlight w:val="none"/>
        </w:rPr>
        <w:t>参数画面显示正常</w:t>
      </w:r>
      <w:r>
        <w:rPr>
          <w:sz w:val="24"/>
          <w:highlight w:val="none"/>
        </w:rPr>
        <w:t>。</w:t>
      </w:r>
    </w:p>
    <w:p w14:paraId="3408233B">
      <w:pPr>
        <w:spacing w:line="360" w:lineRule="auto"/>
        <w:rPr>
          <w:rFonts w:ascii="宋体" w:hAnsi="宋体"/>
          <w:color w:val="000000"/>
          <w:sz w:val="24"/>
          <w:highlight w:val="none"/>
        </w:rPr>
      </w:pPr>
      <w:r>
        <w:rPr>
          <w:rFonts w:hint="eastAsia" w:ascii="宋体" w:hAnsi="宋体"/>
          <w:color w:val="000000"/>
          <w:sz w:val="24"/>
          <w:highlight w:val="none"/>
        </w:rPr>
        <w:t>1.1</w:t>
      </w:r>
      <w:r>
        <w:rPr>
          <w:rFonts w:hint="eastAsia" w:ascii="宋体" w:hAnsi="宋体"/>
          <w:color w:val="000000"/>
          <w:sz w:val="24"/>
          <w:highlight w:val="none"/>
          <w:lang w:val="en-US" w:eastAsia="zh-CN"/>
        </w:rPr>
        <w:t xml:space="preserve">6 </w:t>
      </w:r>
      <w:r>
        <w:rPr>
          <w:rFonts w:hint="eastAsia" w:ascii="宋体" w:hAnsi="宋体"/>
          <w:color w:val="000000"/>
          <w:sz w:val="24"/>
          <w:highlight w:val="none"/>
        </w:rPr>
        <w:t>招标人的工作范围：</w:t>
      </w:r>
    </w:p>
    <w:p w14:paraId="56E7FDB3">
      <w:pPr>
        <w:spacing w:line="360" w:lineRule="auto"/>
        <w:rPr>
          <w:rFonts w:hint="eastAsia" w:ascii="宋体" w:hAnsi="宋体" w:eastAsia="宋体"/>
          <w:color w:val="000000"/>
          <w:sz w:val="24"/>
          <w:highlight w:val="none"/>
          <w:lang w:eastAsia="zh-CN"/>
        </w:rPr>
      </w:pPr>
      <w:r>
        <w:rPr>
          <w:rFonts w:hint="eastAsia" w:ascii="宋体" w:hAnsi="宋体"/>
          <w:color w:val="000000"/>
          <w:sz w:val="24"/>
          <w:highlight w:val="none"/>
        </w:rPr>
        <w:t>1.1</w:t>
      </w:r>
      <w:r>
        <w:rPr>
          <w:rFonts w:hint="eastAsia" w:ascii="宋体" w:hAnsi="宋体"/>
          <w:color w:val="000000"/>
          <w:sz w:val="24"/>
          <w:highlight w:val="none"/>
          <w:lang w:val="en-US" w:eastAsia="zh-CN"/>
        </w:rPr>
        <w:t>6</w:t>
      </w:r>
      <w:r>
        <w:rPr>
          <w:rFonts w:hint="eastAsia" w:ascii="宋体" w:hAnsi="宋体"/>
          <w:color w:val="000000"/>
          <w:sz w:val="24"/>
          <w:highlight w:val="none"/>
        </w:rPr>
        <w:t>.1</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审核投标人的系统方案和提供的资料、图纸、技术文件</w:t>
      </w:r>
      <w:r>
        <w:rPr>
          <w:rFonts w:hint="eastAsia" w:ascii="宋体" w:hAnsi="宋体"/>
          <w:color w:val="000000"/>
          <w:sz w:val="24"/>
          <w:highlight w:val="none"/>
          <w:lang w:eastAsia="zh-CN"/>
        </w:rPr>
        <w:t>；</w:t>
      </w:r>
    </w:p>
    <w:p w14:paraId="18B13826">
      <w:pPr>
        <w:spacing w:line="360" w:lineRule="auto"/>
        <w:rPr>
          <w:rFonts w:hint="eastAsia" w:ascii="宋体" w:hAnsi="宋体" w:eastAsia="宋体"/>
          <w:color w:val="000000"/>
          <w:sz w:val="24"/>
          <w:highlight w:val="none"/>
          <w:lang w:eastAsia="zh-CN"/>
        </w:rPr>
      </w:pPr>
      <w:r>
        <w:rPr>
          <w:rFonts w:hint="eastAsia" w:ascii="宋体" w:hAnsi="宋体"/>
          <w:color w:val="000000"/>
          <w:sz w:val="24"/>
          <w:highlight w:val="none"/>
        </w:rPr>
        <w:t>1.1</w:t>
      </w:r>
      <w:r>
        <w:rPr>
          <w:rFonts w:hint="eastAsia" w:ascii="宋体" w:hAnsi="宋体"/>
          <w:color w:val="000000"/>
          <w:sz w:val="24"/>
          <w:highlight w:val="none"/>
          <w:lang w:val="en-US" w:eastAsia="zh-CN"/>
        </w:rPr>
        <w:t>6</w:t>
      </w:r>
      <w:r>
        <w:rPr>
          <w:rFonts w:hint="eastAsia" w:ascii="宋体" w:hAnsi="宋体"/>
          <w:color w:val="000000"/>
          <w:sz w:val="24"/>
          <w:highlight w:val="none"/>
        </w:rPr>
        <w:t>.2</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在投标人的指导下确定大屏幕和操作台的基本位置</w:t>
      </w:r>
      <w:r>
        <w:rPr>
          <w:rFonts w:hint="eastAsia" w:ascii="宋体" w:hAnsi="宋体"/>
          <w:color w:val="000000"/>
          <w:sz w:val="24"/>
          <w:highlight w:val="none"/>
          <w:lang w:eastAsia="zh-CN"/>
        </w:rPr>
        <w:t>；</w:t>
      </w:r>
    </w:p>
    <w:p w14:paraId="411F54CF">
      <w:pPr>
        <w:spacing w:line="360" w:lineRule="auto"/>
        <w:rPr>
          <w:rFonts w:hint="eastAsia" w:ascii="宋体" w:hAnsi="宋体" w:eastAsia="宋体"/>
          <w:color w:val="000000"/>
          <w:sz w:val="24"/>
          <w:highlight w:val="none"/>
          <w:lang w:eastAsia="zh-CN"/>
        </w:rPr>
      </w:pPr>
      <w:r>
        <w:rPr>
          <w:rFonts w:hint="eastAsia" w:ascii="宋体" w:hAnsi="宋体"/>
          <w:color w:val="000000"/>
          <w:sz w:val="24"/>
          <w:highlight w:val="none"/>
        </w:rPr>
        <w:t>1.1</w:t>
      </w:r>
      <w:r>
        <w:rPr>
          <w:rFonts w:hint="eastAsia" w:ascii="宋体" w:hAnsi="宋体"/>
          <w:color w:val="000000"/>
          <w:sz w:val="24"/>
          <w:highlight w:val="none"/>
          <w:lang w:val="en-US" w:eastAsia="zh-CN"/>
        </w:rPr>
        <w:t>6</w:t>
      </w:r>
      <w:r>
        <w:rPr>
          <w:rFonts w:hint="eastAsia" w:ascii="宋体" w:hAnsi="宋体"/>
          <w:color w:val="000000"/>
          <w:sz w:val="24"/>
          <w:highlight w:val="none"/>
        </w:rPr>
        <w:t>.3</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负责对投标人最终完成的系统进行验收</w:t>
      </w:r>
      <w:r>
        <w:rPr>
          <w:rFonts w:hint="eastAsia" w:ascii="宋体" w:hAnsi="宋体"/>
          <w:color w:val="000000"/>
          <w:sz w:val="24"/>
          <w:highlight w:val="none"/>
          <w:lang w:eastAsia="zh-CN"/>
        </w:rPr>
        <w:t>；</w:t>
      </w:r>
    </w:p>
    <w:p w14:paraId="7F021827">
      <w:pPr>
        <w:keepNext/>
        <w:keepLines/>
        <w:autoSpaceDE w:val="0"/>
        <w:autoSpaceDN w:val="0"/>
        <w:adjustRightInd w:val="0"/>
        <w:spacing w:before="0" w:after="0" w:line="360" w:lineRule="auto"/>
        <w:textAlignment w:val="baseline"/>
        <w:outlineLvl w:val="9"/>
        <w:rPr>
          <w:rFonts w:ascii="宋体" w:hAnsi="宋体"/>
          <w:b w:val="0"/>
          <w:color w:val="000000"/>
          <w:sz w:val="24"/>
          <w:szCs w:val="24"/>
          <w:highlight w:val="none"/>
        </w:rPr>
      </w:pPr>
      <w:r>
        <w:rPr>
          <w:rFonts w:hint="eastAsia" w:ascii="宋体" w:hAnsi="宋体"/>
          <w:b w:val="0"/>
          <w:color w:val="000000"/>
          <w:sz w:val="24"/>
          <w:szCs w:val="24"/>
          <w:highlight w:val="none"/>
        </w:rPr>
        <w:t>1.1</w:t>
      </w:r>
      <w:r>
        <w:rPr>
          <w:rFonts w:hint="eastAsia" w:ascii="宋体" w:hAnsi="宋体"/>
          <w:b w:val="0"/>
          <w:color w:val="000000"/>
          <w:sz w:val="24"/>
          <w:szCs w:val="24"/>
          <w:highlight w:val="none"/>
          <w:lang w:val="en-US" w:eastAsia="zh-CN"/>
        </w:rPr>
        <w:t xml:space="preserve">7 </w:t>
      </w:r>
      <w:r>
        <w:rPr>
          <w:rFonts w:hint="eastAsia" w:ascii="宋体" w:hAnsi="宋体"/>
          <w:b w:val="0"/>
          <w:color w:val="000000"/>
          <w:sz w:val="24"/>
          <w:szCs w:val="24"/>
          <w:highlight w:val="none"/>
        </w:rPr>
        <w:t>工作界限</w:t>
      </w:r>
    </w:p>
    <w:p w14:paraId="08B7E831">
      <w:pPr>
        <w:spacing w:line="360" w:lineRule="auto"/>
        <w:rPr>
          <w:rFonts w:ascii="宋体" w:hAnsi="宋体"/>
          <w:color w:val="000000"/>
          <w:sz w:val="24"/>
          <w:highlight w:val="none"/>
        </w:rPr>
      </w:pPr>
      <w:r>
        <w:rPr>
          <w:rFonts w:hint="eastAsia" w:ascii="宋体" w:hAnsi="宋体"/>
          <w:color w:val="000000"/>
          <w:sz w:val="24"/>
          <w:szCs w:val="24"/>
          <w:highlight w:val="none"/>
        </w:rPr>
        <w:t>1.1</w:t>
      </w:r>
      <w:r>
        <w:rPr>
          <w:rFonts w:hint="eastAsia" w:ascii="宋体" w:hAnsi="宋体"/>
          <w:color w:val="000000"/>
          <w:sz w:val="24"/>
          <w:szCs w:val="24"/>
          <w:highlight w:val="none"/>
          <w:lang w:val="en-US" w:eastAsia="zh-CN"/>
        </w:rPr>
        <w:t>7</w:t>
      </w:r>
      <w:r>
        <w:rPr>
          <w:rFonts w:hint="eastAsia" w:ascii="宋体" w:hAnsi="宋体"/>
          <w:color w:val="000000"/>
          <w:sz w:val="24"/>
          <w:szCs w:val="24"/>
          <w:highlight w:val="none"/>
        </w:rPr>
        <w:t>.1</w:t>
      </w:r>
      <w:r>
        <w:rPr>
          <w:rFonts w:hint="eastAsia" w:ascii="宋体" w:hAnsi="宋体"/>
          <w:color w:val="000000"/>
          <w:sz w:val="24"/>
          <w:highlight w:val="none"/>
          <w:lang w:eastAsia="zh-CN"/>
        </w:rPr>
        <w:t>投标人</w:t>
      </w:r>
      <w:r>
        <w:rPr>
          <w:rFonts w:hint="eastAsia" w:ascii="宋体" w:hAnsi="宋体"/>
          <w:color w:val="000000"/>
          <w:sz w:val="24"/>
          <w:highlight w:val="none"/>
        </w:rPr>
        <w:t>应负责业主提供数据单的完善；</w:t>
      </w:r>
    </w:p>
    <w:p w14:paraId="532B724F">
      <w:pPr>
        <w:spacing w:line="360" w:lineRule="auto"/>
        <w:rPr>
          <w:rFonts w:ascii="宋体" w:hAnsi="宋体"/>
          <w:color w:val="000000"/>
          <w:sz w:val="24"/>
          <w:highlight w:val="none"/>
        </w:rPr>
      </w:pPr>
      <w:r>
        <w:rPr>
          <w:rFonts w:hint="eastAsia" w:ascii="宋体" w:hAnsi="宋体"/>
          <w:color w:val="000000"/>
          <w:sz w:val="24"/>
          <w:szCs w:val="24"/>
          <w:highlight w:val="none"/>
        </w:rPr>
        <w:t>1.1</w:t>
      </w:r>
      <w:r>
        <w:rPr>
          <w:rFonts w:hint="eastAsia" w:ascii="宋体" w:hAnsi="宋体"/>
          <w:color w:val="000000"/>
          <w:sz w:val="24"/>
          <w:szCs w:val="24"/>
          <w:highlight w:val="none"/>
          <w:lang w:val="en-US" w:eastAsia="zh-CN"/>
        </w:rPr>
        <w:t>7</w:t>
      </w:r>
      <w:r>
        <w:rPr>
          <w:rFonts w:hint="eastAsia" w:ascii="宋体" w:hAnsi="宋体"/>
          <w:color w:val="000000"/>
          <w:sz w:val="24"/>
          <w:szCs w:val="24"/>
          <w:highlight w:val="none"/>
        </w:rPr>
        <w:t>.2</w:t>
      </w:r>
      <w:r>
        <w:rPr>
          <w:rFonts w:hint="eastAsia" w:ascii="宋体" w:hAnsi="宋体"/>
          <w:color w:val="000000"/>
          <w:sz w:val="24"/>
          <w:szCs w:val="24"/>
          <w:highlight w:val="none"/>
          <w:lang w:val="en-US" w:eastAsia="zh-CN"/>
        </w:rPr>
        <w:t xml:space="preserve"> </w:t>
      </w:r>
      <w:r>
        <w:rPr>
          <w:rFonts w:hint="eastAsia" w:ascii="宋体" w:hAnsi="宋体"/>
          <w:color w:val="000000"/>
          <w:sz w:val="24"/>
          <w:highlight w:val="none"/>
        </w:rPr>
        <w:t>现场LED屏幕、视频拼接控制器、操作台等</w:t>
      </w:r>
      <w:r>
        <w:rPr>
          <w:rFonts w:hint="eastAsia" w:ascii="宋体" w:hAnsi="宋体"/>
          <w:bCs/>
          <w:color w:val="000000"/>
          <w:sz w:val="24"/>
          <w:highlight w:val="none"/>
        </w:rPr>
        <w:t>设备</w:t>
      </w:r>
      <w:r>
        <w:rPr>
          <w:rFonts w:hint="eastAsia" w:ascii="宋体" w:hAnsi="宋体"/>
          <w:color w:val="000000"/>
          <w:sz w:val="24"/>
          <w:highlight w:val="none"/>
        </w:rPr>
        <w:t>的安装、集成调试以及配合验收等。</w:t>
      </w:r>
    </w:p>
    <w:p w14:paraId="64595873">
      <w:pPr>
        <w:spacing w:line="360" w:lineRule="auto"/>
        <w:rPr>
          <w:rFonts w:hint="eastAsia" w:ascii="宋体" w:hAnsi="宋体"/>
          <w:color w:val="000000"/>
          <w:sz w:val="24"/>
          <w:highlight w:val="none"/>
        </w:rPr>
      </w:pPr>
      <w:r>
        <w:rPr>
          <w:rFonts w:hint="eastAsia" w:ascii="宋体" w:hAnsi="宋体"/>
          <w:color w:val="000000"/>
          <w:sz w:val="24"/>
          <w:szCs w:val="24"/>
          <w:highlight w:val="none"/>
        </w:rPr>
        <w:t>1.1</w:t>
      </w:r>
      <w:r>
        <w:rPr>
          <w:rFonts w:hint="eastAsia" w:ascii="宋体" w:hAnsi="宋体"/>
          <w:color w:val="000000"/>
          <w:sz w:val="24"/>
          <w:szCs w:val="24"/>
          <w:highlight w:val="none"/>
          <w:lang w:val="en-US" w:eastAsia="zh-CN"/>
        </w:rPr>
        <w:t>7</w:t>
      </w:r>
      <w:r>
        <w:rPr>
          <w:rFonts w:hint="eastAsia" w:ascii="宋体" w:hAnsi="宋体"/>
          <w:color w:val="000000"/>
          <w:sz w:val="24"/>
          <w:szCs w:val="24"/>
          <w:highlight w:val="none"/>
        </w:rPr>
        <w:t>.3</w:t>
      </w:r>
      <w:r>
        <w:rPr>
          <w:rFonts w:hint="eastAsia" w:ascii="宋体" w:hAnsi="宋体"/>
          <w:color w:val="000000"/>
          <w:sz w:val="24"/>
          <w:szCs w:val="24"/>
          <w:highlight w:val="none"/>
          <w:lang w:val="en-US" w:eastAsia="zh-CN"/>
        </w:rPr>
        <w:t xml:space="preserve"> </w:t>
      </w:r>
      <w:r>
        <w:rPr>
          <w:rFonts w:hint="eastAsia" w:ascii="宋体" w:hAnsi="宋体"/>
          <w:color w:val="000000"/>
          <w:sz w:val="24"/>
          <w:highlight w:val="none"/>
          <w:lang w:eastAsia="zh-CN"/>
        </w:rPr>
        <w:t>招标人</w:t>
      </w:r>
      <w:r>
        <w:rPr>
          <w:rFonts w:hint="eastAsia" w:ascii="宋体" w:hAnsi="宋体"/>
          <w:color w:val="000000"/>
          <w:sz w:val="24"/>
          <w:highlight w:val="none"/>
        </w:rPr>
        <w:t>负责提供符合系统需要的一路380/220VAC电源至大屏幕配电箱</w:t>
      </w:r>
      <w:r>
        <w:rPr>
          <w:rFonts w:hint="eastAsia" w:ascii="宋体" w:hAnsi="宋体"/>
          <w:color w:val="000000"/>
          <w:sz w:val="24"/>
          <w:highlight w:val="none"/>
          <w:lang w:eastAsia="zh-CN"/>
        </w:rPr>
        <w:t>，</w:t>
      </w:r>
      <w:r>
        <w:rPr>
          <w:rFonts w:hint="eastAsia" w:ascii="宋体" w:hAnsi="宋体"/>
          <w:color w:val="000000"/>
          <w:sz w:val="24"/>
          <w:highlight w:val="none"/>
        </w:rPr>
        <w:t>电缆由</w:t>
      </w:r>
      <w:r>
        <w:rPr>
          <w:rFonts w:hint="eastAsia" w:ascii="宋体" w:hAnsi="宋体"/>
          <w:color w:val="000000"/>
          <w:sz w:val="24"/>
          <w:highlight w:val="none"/>
          <w:lang w:eastAsia="zh-CN"/>
        </w:rPr>
        <w:t>招标人</w:t>
      </w:r>
      <w:r>
        <w:rPr>
          <w:rFonts w:hint="eastAsia" w:ascii="宋体" w:hAnsi="宋体"/>
          <w:color w:val="000000"/>
          <w:sz w:val="24"/>
          <w:highlight w:val="none"/>
        </w:rPr>
        <w:t>负责提供。大屏幕配电箱、控制机柜内部以及操作控制台内部的电源</w:t>
      </w:r>
      <w:r>
        <w:rPr>
          <w:rFonts w:hint="eastAsia" w:ascii="宋体" w:hAnsi="宋体"/>
          <w:color w:val="000000"/>
          <w:sz w:val="24"/>
          <w:highlight w:val="none"/>
          <w:lang w:val="en-US" w:eastAsia="zh-CN"/>
        </w:rPr>
        <w:t>及线缆</w:t>
      </w:r>
      <w:r>
        <w:rPr>
          <w:rFonts w:hint="eastAsia" w:ascii="宋体" w:hAnsi="宋体"/>
          <w:color w:val="000000"/>
          <w:sz w:val="24"/>
          <w:highlight w:val="none"/>
        </w:rPr>
        <w:t>由</w:t>
      </w:r>
      <w:r>
        <w:rPr>
          <w:rFonts w:hint="eastAsia" w:ascii="宋体" w:hAnsi="宋体"/>
          <w:color w:val="000000"/>
          <w:sz w:val="24"/>
          <w:highlight w:val="none"/>
          <w:lang w:eastAsia="zh-CN"/>
        </w:rPr>
        <w:t>投标人</w:t>
      </w:r>
      <w:r>
        <w:rPr>
          <w:rFonts w:hint="eastAsia" w:ascii="宋体" w:hAnsi="宋体"/>
          <w:color w:val="000000"/>
          <w:sz w:val="24"/>
          <w:highlight w:val="none"/>
        </w:rPr>
        <w:t>负责。</w:t>
      </w:r>
    </w:p>
    <w:p w14:paraId="7B1DE2EA">
      <w:pPr>
        <w:rPr>
          <w:highlight w:val="none"/>
        </w:rPr>
      </w:pPr>
      <w:r>
        <w:rPr>
          <w:rFonts w:hint="eastAsia" w:ascii="宋体" w:hAnsi="宋体"/>
          <w:color w:val="000000"/>
          <w:sz w:val="24"/>
          <w:szCs w:val="24"/>
          <w:highlight w:val="none"/>
        </w:rPr>
        <w:t>1.1</w:t>
      </w:r>
      <w:r>
        <w:rPr>
          <w:rFonts w:hint="eastAsia" w:ascii="宋体" w:hAnsi="宋体"/>
          <w:color w:val="000000"/>
          <w:sz w:val="24"/>
          <w:szCs w:val="24"/>
          <w:highlight w:val="none"/>
          <w:lang w:val="en-US" w:eastAsia="zh-CN"/>
        </w:rPr>
        <w:t>7</w:t>
      </w:r>
      <w:r>
        <w:rPr>
          <w:rFonts w:hint="eastAsia" w:ascii="宋体" w:hAnsi="宋体"/>
          <w:color w:val="000000"/>
          <w:sz w:val="24"/>
          <w:szCs w:val="24"/>
          <w:highlight w:val="none"/>
        </w:rPr>
        <w:t>.4</w:t>
      </w:r>
      <w:r>
        <w:rPr>
          <w:rFonts w:hint="eastAsia" w:ascii="宋体" w:hAnsi="宋体"/>
          <w:color w:val="000000"/>
          <w:sz w:val="24"/>
          <w:szCs w:val="24"/>
          <w:highlight w:val="none"/>
          <w:lang w:val="en-US" w:eastAsia="zh-CN"/>
        </w:rPr>
        <w:t xml:space="preserve"> </w:t>
      </w:r>
      <w:r>
        <w:rPr>
          <w:rFonts w:hint="eastAsia" w:ascii="宋体" w:hAnsi="宋体"/>
          <w:color w:val="000000"/>
          <w:sz w:val="24"/>
          <w:highlight w:val="none"/>
          <w:lang w:eastAsia="zh-CN"/>
        </w:rPr>
        <w:t>投标人</w:t>
      </w:r>
      <w:r>
        <w:rPr>
          <w:rFonts w:hint="eastAsia" w:ascii="宋体" w:hAnsi="宋体"/>
          <w:color w:val="000000"/>
          <w:sz w:val="24"/>
          <w:highlight w:val="none"/>
        </w:rPr>
        <w:t>需根据现场及设备需求，配合</w:t>
      </w:r>
      <w:r>
        <w:rPr>
          <w:rFonts w:hint="eastAsia" w:ascii="宋体" w:hAnsi="宋体"/>
          <w:color w:val="000000"/>
          <w:sz w:val="24"/>
          <w:highlight w:val="none"/>
          <w:lang w:eastAsia="zh-CN"/>
        </w:rPr>
        <w:t>招标人</w:t>
      </w:r>
      <w:r>
        <w:rPr>
          <w:rFonts w:hint="eastAsia" w:ascii="宋体" w:hAnsi="宋体"/>
          <w:color w:val="000000"/>
          <w:sz w:val="24"/>
          <w:highlight w:val="none"/>
        </w:rPr>
        <w:t>的开孔要求。</w:t>
      </w:r>
    </w:p>
    <w:p w14:paraId="29CBAD67">
      <w:pPr>
        <w:pStyle w:val="4"/>
        <w:numPr>
          <w:ilvl w:val="0"/>
          <w:numId w:val="0"/>
        </w:numPr>
        <w:ind w:left="360" w:hanging="360"/>
        <w:rPr>
          <w:color w:val="000000" w:themeColor="text1"/>
          <w:highlight w:val="none"/>
          <w14:textFill>
            <w14:solidFill>
              <w14:schemeClr w14:val="tx1"/>
            </w14:solidFill>
          </w14:textFill>
        </w:rPr>
      </w:pPr>
      <w:bookmarkStart w:id="4" w:name="_Toc171002363"/>
      <w:bookmarkStart w:id="5" w:name="_Toc8484"/>
      <w:r>
        <w:rPr>
          <w:rFonts w:hint="default" w:ascii="Times New Roman" w:hAnsi="Times New Roman" w:eastAsia="宋体" w:cs="Times New Roman"/>
          <w:b/>
          <w:color w:val="000000" w:themeColor="text1"/>
          <w:kern w:val="0"/>
          <w:sz w:val="28"/>
          <w:szCs w:val="28"/>
          <w:highlight w:val="none"/>
          <w:lang w:val="en-US" w:eastAsia="zh-CN" w:bidi="ar-SA"/>
          <w14:textFill>
            <w14:solidFill>
              <w14:schemeClr w14:val="tx1"/>
            </w14:solidFill>
          </w14:textFill>
        </w:rPr>
        <w:t>2</w:t>
      </w:r>
      <w:r>
        <w:rPr>
          <w:rFonts w:hint="eastAsia"/>
          <w:color w:val="000000" w:themeColor="text1"/>
          <w:highlight w:val="none"/>
          <w14:textFill>
            <w14:solidFill>
              <w14:schemeClr w14:val="tx1"/>
            </w14:solidFill>
          </w14:textFill>
        </w:rPr>
        <w:t>工程概况</w:t>
      </w:r>
      <w:bookmarkEnd w:id="4"/>
      <w:bookmarkEnd w:id="5"/>
    </w:p>
    <w:p w14:paraId="5609C098">
      <w:pPr>
        <w:numPr>
          <w:ilvl w:val="0"/>
          <w:numId w:val="2"/>
        </w:numPr>
        <w:spacing w:line="500" w:lineRule="exact"/>
        <w:ind w:right="-210"/>
        <w:rPr>
          <w:rFonts w:ascii="Arial" w:hAnsi="Arial" w:cs="Arial"/>
          <w:sz w:val="24"/>
          <w:szCs w:val="24"/>
          <w:highlight w:val="none"/>
        </w:rPr>
      </w:pPr>
      <w:r>
        <w:rPr>
          <w:rFonts w:hint="eastAsia" w:ascii="Arial" w:hAnsi="Arial" w:cs="Arial"/>
          <w:sz w:val="24"/>
          <w:szCs w:val="24"/>
          <w:highlight w:val="none"/>
          <w:lang w:val="en-US" w:eastAsia="zh-CN"/>
        </w:rPr>
        <w:t xml:space="preserve"> </w:t>
      </w:r>
      <w:r>
        <w:rPr>
          <w:rFonts w:ascii="Arial" w:hAnsi="Arial" w:cs="Arial"/>
          <w:sz w:val="24"/>
          <w:szCs w:val="24"/>
          <w:highlight w:val="none"/>
        </w:rPr>
        <w:t>厂址概况</w:t>
      </w:r>
    </w:p>
    <w:p w14:paraId="3615C045">
      <w:pPr>
        <w:spacing w:line="500" w:lineRule="exact"/>
        <w:ind w:left="420"/>
        <w:rPr>
          <w:rFonts w:ascii="宋体" w:hAnsi="宋体"/>
          <w:sz w:val="24"/>
          <w:szCs w:val="24"/>
          <w:highlight w:val="none"/>
        </w:rPr>
      </w:pPr>
      <w:r>
        <w:rPr>
          <w:rFonts w:ascii="Times New Roman" w:hAnsi="宋体"/>
          <w:sz w:val="24"/>
          <w:highlight w:val="none"/>
        </w:rPr>
        <w:t>台州临港热电有限公司地处临海医化园区，厂址南侧为园区东海第四大道。</w:t>
      </w:r>
    </w:p>
    <w:p w14:paraId="170E867A">
      <w:pPr>
        <w:numPr>
          <w:ilvl w:val="0"/>
          <w:numId w:val="2"/>
        </w:numPr>
        <w:spacing w:line="500" w:lineRule="exact"/>
        <w:ind w:right="-210"/>
        <w:rPr>
          <w:rFonts w:ascii="Arial" w:hAnsi="Arial" w:cs="Arial"/>
          <w:sz w:val="24"/>
          <w:szCs w:val="24"/>
          <w:highlight w:val="none"/>
        </w:rPr>
      </w:pPr>
      <w:r>
        <w:rPr>
          <w:rFonts w:hint="eastAsia" w:ascii="Arial" w:hAnsi="Arial" w:cs="Arial"/>
          <w:sz w:val="24"/>
          <w:szCs w:val="24"/>
          <w:highlight w:val="none"/>
          <w:lang w:val="en-US" w:eastAsia="zh-CN"/>
        </w:rPr>
        <w:t xml:space="preserve"> </w:t>
      </w:r>
      <w:r>
        <w:rPr>
          <w:rFonts w:hint="eastAsia" w:ascii="Arial" w:hAnsi="Arial" w:cs="Arial"/>
          <w:sz w:val="24"/>
          <w:szCs w:val="24"/>
          <w:highlight w:val="none"/>
        </w:rPr>
        <w:t>气象资料</w:t>
      </w:r>
    </w:p>
    <w:p w14:paraId="7D4DBDCD">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临海市属亚热带季风性湿润气候，四季分明，年平均气温17.1℃，受海洋水体调节和西北高山对寒流的阻滞，境内夏少酷热，冬无邪寒，热量丰富，雨水充沛，气候温和湿润。</w:t>
      </w:r>
    </w:p>
    <w:p w14:paraId="48C61EB1">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多年平均气温17.9℃；</w:t>
      </w:r>
    </w:p>
    <w:p w14:paraId="425A69E5">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极端最高气温36.6°（1966年8月9日）；</w:t>
      </w:r>
    </w:p>
    <w:p w14:paraId="7C2B88B0">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极端最低气温－5.8°；</w:t>
      </w:r>
    </w:p>
    <w:p w14:paraId="10D3A4AD">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多年平均降水量1558.47.1mm；</w:t>
      </w:r>
    </w:p>
    <w:p w14:paraId="2AFA4D2D">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最大降水量2375.1mm；</w:t>
      </w:r>
    </w:p>
    <w:p w14:paraId="0494B2A6">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最小降水量912.8mm；</w:t>
      </w:r>
    </w:p>
    <w:p w14:paraId="03890893">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多年平均蒸发量1360.4mm；</w:t>
      </w:r>
    </w:p>
    <w:p w14:paraId="3FA44473">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多年平均风速为2.7m/s；</w:t>
      </w:r>
    </w:p>
    <w:p w14:paraId="57DBDC35">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瞬时极端最大风速45m/s；</w:t>
      </w:r>
    </w:p>
    <w:p w14:paraId="534CA97E">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最大24小时降水量446.7mm；</w:t>
      </w:r>
    </w:p>
    <w:p w14:paraId="1B453933">
      <w:pPr>
        <w:tabs>
          <w:tab w:val="left" w:pos="0"/>
        </w:tabs>
        <w:spacing w:line="360" w:lineRule="auto"/>
        <w:ind w:firstLine="480" w:firstLineChars="200"/>
        <w:rPr>
          <w:rFonts w:ascii="Times New Roman" w:hAnsi="宋体"/>
          <w:sz w:val="24"/>
          <w:highlight w:val="none"/>
        </w:rPr>
      </w:pPr>
      <w:r>
        <w:rPr>
          <w:rFonts w:ascii="Times New Roman" w:hAnsi="宋体"/>
          <w:sz w:val="24"/>
          <w:highlight w:val="none"/>
        </w:rPr>
        <w:t>最大1小时降水量58.2mm；</w:t>
      </w:r>
    </w:p>
    <w:p w14:paraId="18E47570">
      <w:pPr>
        <w:tabs>
          <w:tab w:val="left" w:pos="0"/>
        </w:tabs>
        <w:spacing w:line="360" w:lineRule="auto"/>
        <w:ind w:firstLine="480" w:firstLineChars="200"/>
        <w:rPr>
          <w:rFonts w:ascii="宋体" w:hAnsi="宋体" w:eastAsia="宋体"/>
          <w:sz w:val="24"/>
          <w:szCs w:val="24"/>
          <w:highlight w:val="none"/>
        </w:rPr>
      </w:pPr>
      <w:r>
        <w:rPr>
          <w:rFonts w:ascii="Times New Roman" w:hAnsi="宋体"/>
          <w:sz w:val="24"/>
          <w:highlight w:val="none"/>
        </w:rPr>
        <w:t>最长连续降雨天数18天，过程降雨量254.6mm。降水一般集中在4～6月和7～9月。建设场地台风规律一般为每年1-2次，最高为3-4次，影响季节一般为7-9月，最早为5月，最迟为11月，台风暴雨常常是形成地质灾害的重要引发因素之一。</w:t>
      </w:r>
    </w:p>
    <w:p w14:paraId="2C969A84">
      <w:pPr>
        <w:numPr>
          <w:ilvl w:val="0"/>
          <w:numId w:val="0"/>
        </w:numPr>
        <w:tabs>
          <w:tab w:val="left" w:pos="0"/>
        </w:tabs>
        <w:spacing w:line="360" w:lineRule="auto"/>
        <w:ind w:right="0" w:firstLine="0" w:firstLineChars="0"/>
        <w:rPr>
          <w:rFonts w:hint="default" w:ascii="Times New Roman" w:hAnsi="宋体" w:eastAsia="宋体" w:cs="Times New Roman"/>
          <w:b/>
          <w:bCs/>
          <w:sz w:val="24"/>
          <w:szCs w:val="20"/>
          <w:highlight w:val="none"/>
        </w:rPr>
      </w:pPr>
      <w:r>
        <w:rPr>
          <w:rFonts w:hint="eastAsia" w:ascii="Times New Roman" w:hAnsi="宋体" w:eastAsia="宋体" w:cs="Times New Roman"/>
          <w:b/>
          <w:bCs/>
          <w:sz w:val="24"/>
          <w:szCs w:val="20"/>
          <w:highlight w:val="none"/>
          <w:lang w:val="en-US" w:eastAsia="zh-CN"/>
        </w:rPr>
        <w:t xml:space="preserve">2 </w:t>
      </w:r>
      <w:r>
        <w:rPr>
          <w:rFonts w:hint="default" w:ascii="Times New Roman" w:hAnsi="宋体" w:eastAsia="宋体" w:cs="Times New Roman"/>
          <w:b/>
          <w:bCs/>
          <w:sz w:val="24"/>
          <w:szCs w:val="20"/>
          <w:highlight w:val="none"/>
        </w:rPr>
        <w:t>本期工程简介</w:t>
      </w:r>
    </w:p>
    <w:p w14:paraId="7C95892B">
      <w:pPr>
        <w:spacing w:line="360" w:lineRule="auto"/>
        <w:ind w:firstLine="480" w:firstLineChars="200"/>
        <w:jc w:val="left"/>
        <w:rPr>
          <w:color w:val="000000" w:themeColor="text1"/>
          <w:kern w:val="0"/>
          <w:sz w:val="24"/>
          <w:szCs w:val="20"/>
          <w:highlight w:val="none"/>
          <w14:textFill>
            <w14:solidFill>
              <w14:schemeClr w14:val="tx1"/>
            </w14:solidFill>
          </w14:textFill>
        </w:rPr>
      </w:pPr>
      <w:r>
        <w:rPr>
          <w:rFonts w:hint="default" w:ascii="Times New Roman" w:hAnsi="宋体" w:eastAsia="宋体" w:cs="Times New Roman"/>
          <w:sz w:val="24"/>
          <w:highlight w:val="none"/>
          <w:lang w:val="en-US" w:eastAsia="zh-CN"/>
        </w:rPr>
        <w:t>本项目为扩建项目，建设1台额定蒸发量为240t/h高温高压循环流化床锅炉和1台30MW背压式汽轮发电机组及其公用辅助系统。</w:t>
      </w:r>
    </w:p>
    <w:p w14:paraId="3C7AADD1">
      <w:pPr>
        <w:pStyle w:val="4"/>
        <w:numPr>
          <w:ilvl w:val="0"/>
          <w:numId w:val="0"/>
        </w:numPr>
        <w:ind w:left="360" w:hanging="360"/>
        <w:rPr>
          <w:color w:val="000000" w:themeColor="text1"/>
          <w:highlight w:val="none"/>
          <w14:textFill>
            <w14:solidFill>
              <w14:schemeClr w14:val="tx1"/>
            </w14:solidFill>
          </w14:textFill>
        </w:rPr>
      </w:pPr>
      <w:bookmarkStart w:id="6" w:name="_Toc171002364"/>
      <w:bookmarkStart w:id="7" w:name="_Toc13469"/>
      <w:r>
        <w:rPr>
          <w:rFonts w:hint="default" w:ascii="Times New Roman" w:hAnsi="Times New Roman" w:eastAsia="宋体" w:cs="Times New Roman"/>
          <w:b/>
          <w:color w:val="000000" w:themeColor="text1"/>
          <w:kern w:val="0"/>
          <w:sz w:val="28"/>
          <w:szCs w:val="28"/>
          <w:highlight w:val="none"/>
          <w:lang w:val="en-US" w:eastAsia="zh-CN" w:bidi="ar-SA"/>
          <w14:textFill>
            <w14:solidFill>
              <w14:schemeClr w14:val="tx1"/>
            </w14:solidFill>
          </w14:textFill>
        </w:rPr>
        <w:t>3</w:t>
      </w:r>
      <w:r>
        <w:rPr>
          <w:rFonts w:hint="eastAsia"/>
          <w:color w:val="000000" w:themeColor="text1"/>
          <w:highlight w:val="none"/>
          <w14:textFill>
            <w14:solidFill>
              <w14:schemeClr w14:val="tx1"/>
            </w14:solidFill>
          </w14:textFill>
        </w:rPr>
        <w:t>规范和标准</w:t>
      </w:r>
      <w:bookmarkEnd w:id="6"/>
      <w:bookmarkEnd w:id="7"/>
    </w:p>
    <w:p w14:paraId="556D9A1B">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bCs/>
          <w:color w:val="000000" w:themeColor="text1"/>
          <w:highlight w:val="none"/>
          <w14:textFill>
            <w14:solidFill>
              <w14:schemeClr w14:val="tx1"/>
            </w14:solidFill>
          </w14:textFill>
        </w:rPr>
        <w:t>3.1</w:t>
      </w:r>
      <w:bookmarkStart w:id="8" w:name="_Toc505887170"/>
      <w:bookmarkStart w:id="9" w:name="_Toc505887263"/>
      <w:r>
        <w:rPr>
          <w:rFonts w:hint="eastAsia"/>
          <w:color w:val="000000" w:themeColor="text1"/>
          <w:kern w:val="2"/>
          <w:szCs w:val="24"/>
          <w:highlight w:val="none"/>
          <w14:textFill>
            <w14:solidFill>
              <w14:schemeClr w14:val="tx1"/>
            </w14:solidFill>
          </w14:textFill>
        </w:rPr>
        <w:t>本技术规范书中包括的所有设备应遵照以下适用标准和规范进行设计、制造、检验。所采用的标准和规范（包括附件）应为合同期间的最新有效版本，即以招标人发出数字墙</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显示屏订单之日作为采用最新版本的截至日期。</w:t>
      </w:r>
      <w:bookmarkEnd w:id="8"/>
      <w:bookmarkEnd w:id="9"/>
    </w:p>
    <w:p w14:paraId="0D3D1CC1">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bookmarkStart w:id="10" w:name="_Toc505887171"/>
      <w:bookmarkStart w:id="11" w:name="_Toc505887264"/>
      <w:r>
        <w:rPr>
          <w:color w:val="000000" w:themeColor="text1"/>
          <w:kern w:val="2"/>
          <w:szCs w:val="24"/>
          <w:highlight w:val="none"/>
          <w14:textFill>
            <w14:solidFill>
              <w14:schemeClr w14:val="tx1"/>
            </w14:solidFill>
          </w14:textFill>
        </w:rPr>
        <w:t xml:space="preserve">3.2 </w:t>
      </w:r>
      <w:r>
        <w:rPr>
          <w:rFonts w:hint="eastAsia"/>
          <w:color w:val="000000" w:themeColor="text1"/>
          <w:kern w:val="2"/>
          <w:szCs w:val="24"/>
          <w:highlight w:val="none"/>
          <w14:textFill>
            <w14:solidFill>
              <w14:schemeClr w14:val="tx1"/>
            </w14:solidFill>
          </w14:textFill>
        </w:rPr>
        <w:t>如经招标人同意，投标人可根据自身的经验，超越标准和规范中规定的最低限度要求，对其所供设备采用更好的或更经济的设计。</w:t>
      </w:r>
      <w:bookmarkEnd w:id="10"/>
      <w:bookmarkEnd w:id="11"/>
    </w:p>
    <w:p w14:paraId="32B02B0A">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bookmarkStart w:id="12" w:name="_Toc505887172"/>
      <w:bookmarkStart w:id="13" w:name="_Toc505887265"/>
      <w:r>
        <w:rPr>
          <w:color w:val="000000" w:themeColor="text1"/>
          <w:kern w:val="2"/>
          <w:szCs w:val="24"/>
          <w:highlight w:val="none"/>
          <w14:textFill>
            <w14:solidFill>
              <w14:schemeClr w14:val="tx1"/>
            </w14:solidFill>
          </w14:textFill>
        </w:rPr>
        <w:t xml:space="preserve">3.3 </w:t>
      </w:r>
      <w:r>
        <w:rPr>
          <w:rFonts w:hint="eastAsia"/>
          <w:color w:val="000000" w:themeColor="text1"/>
          <w:kern w:val="2"/>
          <w:szCs w:val="24"/>
          <w:highlight w:val="none"/>
          <w14:textFill>
            <w14:solidFill>
              <w14:schemeClr w14:val="tx1"/>
            </w14:solidFill>
          </w14:textFill>
        </w:rPr>
        <w:t>投标人向招标人提供的所有设备和服务应保证遵循所在国和当地的法律、法规以及适用的标准和规范。</w:t>
      </w:r>
      <w:bookmarkEnd w:id="12"/>
      <w:bookmarkEnd w:id="13"/>
    </w:p>
    <w:p w14:paraId="613D05D0">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bookmarkStart w:id="14" w:name="_Toc505887173"/>
      <w:bookmarkStart w:id="15" w:name="_Toc505887266"/>
      <w:r>
        <w:rPr>
          <w:color w:val="000000" w:themeColor="text1"/>
          <w:kern w:val="2"/>
          <w:szCs w:val="24"/>
          <w:highlight w:val="none"/>
          <w14:textFill>
            <w14:solidFill>
              <w14:schemeClr w14:val="tx1"/>
            </w14:solidFill>
          </w14:textFill>
        </w:rPr>
        <w:t xml:space="preserve">3.4 </w:t>
      </w:r>
      <w:r>
        <w:rPr>
          <w:rFonts w:hint="eastAsia"/>
          <w:color w:val="000000" w:themeColor="text1"/>
          <w:kern w:val="2"/>
          <w:szCs w:val="24"/>
          <w:highlight w:val="none"/>
          <w14:textFill>
            <w14:solidFill>
              <w14:schemeClr w14:val="tx1"/>
            </w14:solidFill>
          </w14:textFill>
        </w:rPr>
        <w:t>当遵照的标准和规范与本技术规范书存在明显冲突时，投标人应向招标人指出冲突之处并取得书面意见。</w:t>
      </w:r>
      <w:bookmarkEnd w:id="14"/>
      <w:bookmarkEnd w:id="15"/>
    </w:p>
    <w:p w14:paraId="176FED64">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3.5 </w:t>
      </w:r>
      <w:r>
        <w:rPr>
          <w:rFonts w:hint="eastAsia"/>
          <w:color w:val="000000" w:themeColor="text1"/>
          <w:kern w:val="2"/>
          <w:szCs w:val="24"/>
          <w:highlight w:val="none"/>
          <w14:textFill>
            <w14:solidFill>
              <w14:schemeClr w14:val="tx1"/>
            </w14:solidFill>
          </w14:textFill>
        </w:rPr>
        <w:t>相关规范和标准如下（包括但不限于）</w:t>
      </w:r>
    </w:p>
    <w:p w14:paraId="6A5E95ED">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《发光二极管</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显示屏通用规范》</w:t>
      </w:r>
      <w:r>
        <w:rPr>
          <w:color w:val="000000" w:themeColor="text1"/>
          <w:kern w:val="2"/>
          <w:szCs w:val="24"/>
          <w:highlight w:val="none"/>
          <w14:textFill>
            <w14:solidFill>
              <w14:schemeClr w14:val="tx1"/>
            </w14:solidFill>
          </w14:textFill>
        </w:rPr>
        <w:t xml:space="preserve">    SJ/T11141</w:t>
      </w:r>
    </w:p>
    <w:p w14:paraId="58E5D061">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显示屏测试方法》</w:t>
      </w:r>
    </w:p>
    <w:p w14:paraId="2C15B521">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《计算机信息系统安全保护等级划分准则》</w:t>
      </w:r>
      <w:r>
        <w:rPr>
          <w:color w:val="000000" w:themeColor="text1"/>
          <w:kern w:val="2"/>
          <w:szCs w:val="24"/>
          <w:highlight w:val="none"/>
          <w14:textFill>
            <w14:solidFill>
              <w14:schemeClr w14:val="tx1"/>
            </w14:solidFill>
          </w14:textFill>
        </w:rPr>
        <w:t xml:space="preserve">    GB17859</w:t>
      </w:r>
    </w:p>
    <w:p w14:paraId="74F7B6E0">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《电力子操作工作站机房设计规范》</w:t>
      </w:r>
      <w:r>
        <w:rPr>
          <w:color w:val="000000" w:themeColor="text1"/>
          <w:kern w:val="2"/>
          <w:szCs w:val="24"/>
          <w:highlight w:val="none"/>
          <w14:textFill>
            <w14:solidFill>
              <w14:schemeClr w14:val="tx1"/>
            </w14:solidFill>
          </w14:textFill>
        </w:rPr>
        <w:t xml:space="preserve">    GB50174-93</w:t>
      </w:r>
    </w:p>
    <w:p w14:paraId="6385752B">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《国际串行通讯标准》</w:t>
      </w:r>
      <w:r>
        <w:rPr>
          <w:color w:val="000000" w:themeColor="text1"/>
          <w:kern w:val="2"/>
          <w:szCs w:val="24"/>
          <w:highlight w:val="none"/>
          <w14:textFill>
            <w14:solidFill>
              <w14:schemeClr w14:val="tx1"/>
            </w14:solidFill>
          </w14:textFill>
        </w:rPr>
        <w:t xml:space="preserve">    EIARS-232-C</w:t>
      </w:r>
    </w:p>
    <w:p w14:paraId="0F0FF1A2">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《工业操作工作站系统安装环境条件》</w:t>
      </w:r>
      <w:r>
        <w:rPr>
          <w:color w:val="000000" w:themeColor="text1"/>
          <w:kern w:val="2"/>
          <w:szCs w:val="24"/>
          <w:highlight w:val="none"/>
          <w14:textFill>
            <w14:solidFill>
              <w14:schemeClr w14:val="tx1"/>
            </w14:solidFill>
          </w14:textFill>
        </w:rPr>
        <w:t xml:space="preserve">    ZBN18-001</w:t>
      </w:r>
    </w:p>
    <w:p w14:paraId="01219EC3">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《电磁兼容》</w:t>
      </w:r>
      <w:r>
        <w:rPr>
          <w:color w:val="000000" w:themeColor="text1"/>
          <w:kern w:val="2"/>
          <w:szCs w:val="24"/>
          <w:highlight w:val="none"/>
          <w14:textFill>
            <w14:solidFill>
              <w14:schemeClr w14:val="tx1"/>
            </w14:solidFill>
          </w14:textFill>
        </w:rPr>
        <w:t xml:space="preserve">    GB/T17626</w:t>
      </w:r>
    </w:p>
    <w:p w14:paraId="6FB4F468">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《远动设备及系统第</w:t>
      </w:r>
      <w:r>
        <w:rPr>
          <w:color w:val="000000" w:themeColor="text1"/>
          <w:kern w:val="2"/>
          <w:szCs w:val="24"/>
          <w:highlight w:val="none"/>
          <w14:textFill>
            <w14:solidFill>
              <w14:schemeClr w14:val="tx1"/>
            </w14:solidFill>
          </w14:textFill>
        </w:rPr>
        <w:t>2</w:t>
      </w:r>
      <w:r>
        <w:rPr>
          <w:rFonts w:hint="eastAsia"/>
          <w:color w:val="000000" w:themeColor="text1"/>
          <w:kern w:val="2"/>
          <w:szCs w:val="24"/>
          <w:highlight w:val="none"/>
          <w14:textFill>
            <w14:solidFill>
              <w14:schemeClr w14:val="tx1"/>
            </w14:solidFill>
          </w14:textFill>
        </w:rPr>
        <w:t>部分</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工作条件第</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篇</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电源和电磁兼容性》</w:t>
      </w:r>
      <w:r>
        <w:rPr>
          <w:color w:val="000000" w:themeColor="text1"/>
          <w:kern w:val="2"/>
          <w:szCs w:val="24"/>
          <w:highlight w:val="none"/>
          <w14:textFill>
            <w14:solidFill>
              <w14:schemeClr w14:val="tx1"/>
            </w14:solidFill>
          </w14:textFill>
        </w:rPr>
        <w:t xml:space="preserve">    GB/T 15153.1</w:t>
      </w:r>
    </w:p>
    <w:p w14:paraId="03E47E67">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《远动设备及系统第</w:t>
      </w:r>
      <w:r>
        <w:rPr>
          <w:color w:val="000000" w:themeColor="text1"/>
          <w:kern w:val="2"/>
          <w:szCs w:val="24"/>
          <w:highlight w:val="none"/>
          <w14:textFill>
            <w14:solidFill>
              <w14:schemeClr w14:val="tx1"/>
            </w14:solidFill>
          </w14:textFill>
        </w:rPr>
        <w:t>2</w:t>
      </w:r>
      <w:r>
        <w:rPr>
          <w:rFonts w:hint="eastAsia"/>
          <w:color w:val="000000" w:themeColor="text1"/>
          <w:kern w:val="2"/>
          <w:szCs w:val="24"/>
          <w:highlight w:val="none"/>
          <w14:textFill>
            <w14:solidFill>
              <w14:schemeClr w14:val="tx1"/>
            </w14:solidFill>
          </w14:textFill>
        </w:rPr>
        <w:t>部分</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工作条件第</w:t>
      </w:r>
      <w:r>
        <w:rPr>
          <w:color w:val="000000" w:themeColor="text1"/>
          <w:kern w:val="2"/>
          <w:szCs w:val="24"/>
          <w:highlight w:val="none"/>
          <w14:textFill>
            <w14:solidFill>
              <w14:schemeClr w14:val="tx1"/>
            </w14:solidFill>
          </w14:textFill>
        </w:rPr>
        <w:t>2</w:t>
      </w:r>
      <w:r>
        <w:rPr>
          <w:rFonts w:hint="eastAsia"/>
          <w:color w:val="000000" w:themeColor="text1"/>
          <w:kern w:val="2"/>
          <w:szCs w:val="24"/>
          <w:highlight w:val="none"/>
          <w14:textFill>
            <w14:solidFill>
              <w14:schemeClr w14:val="tx1"/>
            </w14:solidFill>
          </w14:textFill>
        </w:rPr>
        <w:t>篇</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环境条件</w:t>
      </w:r>
      <w:r>
        <w:rPr>
          <w:color w:val="000000" w:themeColor="text1"/>
          <w:kern w:val="2"/>
          <w:szCs w:val="24"/>
          <w:highlight w:val="none"/>
          <w14:textFill>
            <w14:solidFill>
              <w14:schemeClr w14:val="tx1"/>
            </w14:solidFill>
          </w14:textFill>
        </w:rPr>
        <w:t xml:space="preserve"> (</w:t>
      </w:r>
      <w:r>
        <w:rPr>
          <w:rFonts w:hint="eastAsia"/>
          <w:color w:val="000000" w:themeColor="text1"/>
          <w:kern w:val="2"/>
          <w:szCs w:val="24"/>
          <w:highlight w:val="none"/>
          <w14:textFill>
            <w14:solidFill>
              <w14:schemeClr w14:val="tx1"/>
            </w14:solidFill>
          </w14:textFill>
        </w:rPr>
        <w:t>气候、机械和其他非电影响因素</w:t>
      </w:r>
      <w:r>
        <w:rPr>
          <w:color w:val="000000" w:themeColor="text1"/>
          <w:kern w:val="2"/>
          <w:szCs w:val="24"/>
          <w:highlight w:val="none"/>
          <w14:textFill>
            <w14:solidFill>
              <w14:schemeClr w14:val="tx1"/>
            </w14:solidFill>
          </w14:textFill>
        </w:rPr>
        <w:t xml:space="preserve">) </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 xml:space="preserve">    GB/T 15153.2</w:t>
      </w:r>
    </w:p>
    <w:p w14:paraId="6F741EB4">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国家标准《建筑物防雷设计规范》</w:t>
      </w:r>
      <w:r>
        <w:rPr>
          <w:color w:val="000000" w:themeColor="text1"/>
          <w:kern w:val="2"/>
          <w:szCs w:val="24"/>
          <w:highlight w:val="none"/>
          <w14:textFill>
            <w14:solidFill>
              <w14:schemeClr w14:val="tx1"/>
            </w14:solidFill>
          </w14:textFill>
        </w:rPr>
        <w:t xml:space="preserve">    GB50057-94</w:t>
      </w:r>
    </w:p>
    <w:p w14:paraId="4A7853E9">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《计算机信息系统防雷保安器》</w:t>
      </w:r>
      <w:r>
        <w:rPr>
          <w:color w:val="000000" w:themeColor="text1"/>
          <w:kern w:val="2"/>
          <w:szCs w:val="24"/>
          <w:highlight w:val="none"/>
          <w14:textFill>
            <w14:solidFill>
              <w14:schemeClr w14:val="tx1"/>
            </w14:solidFill>
          </w14:textFill>
        </w:rPr>
        <w:t xml:space="preserve">     GA 173</w:t>
      </w:r>
    </w:p>
    <w:p w14:paraId="5B5BF601">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《建筑电气设计技术规程》　</w:t>
      </w:r>
      <w:r>
        <w:rPr>
          <w:color w:val="000000" w:themeColor="text1"/>
          <w:kern w:val="2"/>
          <w:szCs w:val="24"/>
          <w:highlight w:val="none"/>
          <w14:textFill>
            <w14:solidFill>
              <w14:schemeClr w14:val="tx1"/>
            </w14:solidFill>
          </w14:textFill>
        </w:rPr>
        <w:t>JDJ16-83</w:t>
      </w:r>
    </w:p>
    <w:p w14:paraId="0CD2923D">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《民用建筑电气设计规范》</w:t>
      </w:r>
      <w:r>
        <w:rPr>
          <w:color w:val="000000" w:themeColor="text1"/>
          <w:kern w:val="2"/>
          <w:szCs w:val="24"/>
          <w:highlight w:val="none"/>
          <w14:textFill>
            <w14:solidFill>
              <w14:schemeClr w14:val="tx1"/>
            </w14:solidFill>
          </w14:textFill>
        </w:rPr>
        <w:t xml:space="preserve">    JGJT 16</w:t>
      </w:r>
    </w:p>
    <w:p w14:paraId="2B32C5CE">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《电气装置安装工程接地装置施工及验收规范》</w:t>
      </w:r>
      <w:r>
        <w:rPr>
          <w:color w:val="000000" w:themeColor="text1"/>
          <w:kern w:val="2"/>
          <w:szCs w:val="24"/>
          <w:highlight w:val="none"/>
          <w14:textFill>
            <w14:solidFill>
              <w14:schemeClr w14:val="tx1"/>
            </w14:solidFill>
          </w14:textFill>
        </w:rPr>
        <w:t xml:space="preserve">    GB 50169</w:t>
      </w:r>
    </w:p>
    <w:p w14:paraId="7FCFC301">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《低压配电设计规范》</w:t>
      </w:r>
      <w:r>
        <w:rPr>
          <w:color w:val="000000" w:themeColor="text1"/>
          <w:kern w:val="2"/>
          <w:szCs w:val="24"/>
          <w:highlight w:val="none"/>
          <w14:textFill>
            <w14:solidFill>
              <w14:schemeClr w14:val="tx1"/>
            </w14:solidFill>
          </w14:textFill>
        </w:rPr>
        <w:t xml:space="preserve">    GB 50054</w:t>
      </w:r>
    </w:p>
    <w:p w14:paraId="434738BA">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《建筑照明设计标准》</w:t>
      </w:r>
      <w:r>
        <w:rPr>
          <w:color w:val="000000" w:themeColor="text1"/>
          <w:kern w:val="2"/>
          <w:szCs w:val="24"/>
          <w:highlight w:val="none"/>
          <w14:textFill>
            <w14:solidFill>
              <w14:schemeClr w14:val="tx1"/>
            </w14:solidFill>
          </w14:textFill>
        </w:rPr>
        <w:t xml:space="preserve">    GB 50034</w:t>
      </w:r>
    </w:p>
    <w:p w14:paraId="78A8F276">
      <w:pPr>
        <w:pStyle w:val="41"/>
        <w:autoSpaceDE w:val="0"/>
        <w:autoSpaceDN w:val="0"/>
        <w:snapToGrid w:val="0"/>
        <w:spacing w:line="360" w:lineRule="auto"/>
        <w:textAlignment w:val="bottom"/>
        <w:rPr>
          <w:color w:val="000000" w:themeColor="text1"/>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w:t>
      </w:r>
      <w:r>
        <w:rPr>
          <w:rFonts w:hint="eastAsia" w:ascii="Arial" w:hAnsi="Arial" w:cs="Arial"/>
          <w:color w:val="000000" w:themeColor="text1"/>
          <w:szCs w:val="24"/>
          <w:highlight w:val="none"/>
          <w14:textFill>
            <w14:solidFill>
              <w14:schemeClr w14:val="tx1"/>
            </w14:solidFill>
          </w14:textFill>
        </w:rPr>
        <w:t>工业数字系统工程设计规范</w:t>
      </w:r>
      <w:r>
        <w:rPr>
          <w:rFonts w:hint="eastAsia"/>
          <w:color w:val="000000" w:themeColor="text1"/>
          <w:kern w:val="2"/>
          <w:szCs w:val="24"/>
          <w:highlight w:val="none"/>
          <w14:textFill>
            <w14:solidFill>
              <w14:schemeClr w14:val="tx1"/>
            </w14:solidFill>
          </w14:textFill>
        </w:rPr>
        <w:t>》</w:t>
      </w:r>
      <w:r>
        <w:rPr>
          <w:rFonts w:ascii="Arial" w:hAnsi="Arial" w:cs="Arial"/>
          <w:color w:val="000000" w:themeColor="text1"/>
          <w:szCs w:val="24"/>
          <w:highlight w:val="none"/>
          <w14:textFill>
            <w14:solidFill>
              <w14:schemeClr w14:val="tx1"/>
            </w14:solidFill>
          </w14:textFill>
        </w:rPr>
        <w:t>GB50115</w:t>
      </w:r>
    </w:p>
    <w:p w14:paraId="473904F8">
      <w:pPr>
        <w:pStyle w:val="4"/>
        <w:numPr>
          <w:ilvl w:val="0"/>
          <w:numId w:val="0"/>
        </w:numPr>
        <w:ind w:left="360" w:hanging="360"/>
        <w:rPr>
          <w:color w:val="000000" w:themeColor="text1"/>
          <w:highlight w:val="none"/>
          <w14:textFill>
            <w14:solidFill>
              <w14:schemeClr w14:val="tx1"/>
            </w14:solidFill>
          </w14:textFill>
        </w:rPr>
      </w:pPr>
      <w:bookmarkStart w:id="16" w:name="_Toc23411"/>
      <w:bookmarkStart w:id="17" w:name="_Toc171002365"/>
      <w:r>
        <w:rPr>
          <w:rFonts w:hint="default" w:ascii="Times New Roman" w:hAnsi="Times New Roman" w:eastAsia="宋体" w:cs="Times New Roman"/>
          <w:b/>
          <w:color w:val="000000" w:themeColor="text1"/>
          <w:kern w:val="0"/>
          <w:sz w:val="28"/>
          <w:szCs w:val="28"/>
          <w:highlight w:val="none"/>
          <w:lang w:val="en-US" w:eastAsia="zh-CN" w:bidi="ar-SA"/>
          <w14:textFill>
            <w14:solidFill>
              <w14:schemeClr w14:val="tx1"/>
            </w14:solidFill>
          </w14:textFill>
        </w:rPr>
        <w:t>4</w:t>
      </w:r>
      <w:r>
        <w:rPr>
          <w:rFonts w:hint="eastAsia"/>
          <w:color w:val="000000" w:themeColor="text1"/>
          <w:highlight w:val="none"/>
          <w14:textFill>
            <w14:solidFill>
              <w14:schemeClr w14:val="tx1"/>
            </w14:solidFill>
          </w14:textFill>
        </w:rPr>
        <w:t>技术要求</w:t>
      </w:r>
      <w:bookmarkEnd w:id="16"/>
      <w:bookmarkEnd w:id="17"/>
    </w:p>
    <w:p w14:paraId="3D0EF5BE">
      <w:pPr>
        <w:pStyle w:val="41"/>
        <w:widowControl/>
        <w:autoSpaceDE w:val="0"/>
        <w:autoSpaceDN w:val="0"/>
        <w:snapToGrid w:val="0"/>
        <w:spacing w:line="360" w:lineRule="auto"/>
        <w:textAlignment w:val="bottom"/>
        <w:rPr>
          <w:b/>
          <w:bCs/>
          <w:color w:val="000000" w:themeColor="text1"/>
          <w:kern w:val="2"/>
          <w:szCs w:val="24"/>
          <w:highlight w:val="none"/>
          <w14:textFill>
            <w14:solidFill>
              <w14:schemeClr w14:val="tx1"/>
            </w14:solidFill>
          </w14:textFill>
        </w:rPr>
      </w:pPr>
      <w:bookmarkStart w:id="18" w:name="_Toc40596030"/>
      <w:bookmarkStart w:id="19" w:name="_Toc536267461"/>
      <w:bookmarkStart w:id="20" w:name="_Toc40603189"/>
      <w:bookmarkStart w:id="21" w:name="_Toc528635443"/>
      <w:bookmarkStart w:id="22" w:name="_Toc536267715"/>
      <w:bookmarkStart w:id="23" w:name="_Toc519740888"/>
      <w:bookmarkStart w:id="24" w:name="_Toc536267494"/>
      <w:r>
        <w:rPr>
          <w:b/>
          <w:bCs/>
          <w:color w:val="000000" w:themeColor="text1"/>
          <w:kern w:val="2"/>
          <w:szCs w:val="24"/>
          <w:highlight w:val="none"/>
          <w14:textFill>
            <w14:solidFill>
              <w14:schemeClr w14:val="tx1"/>
            </w14:solidFill>
          </w14:textFill>
        </w:rPr>
        <w:t xml:space="preserve">4.1 </w:t>
      </w:r>
      <w:r>
        <w:rPr>
          <w:rFonts w:hint="eastAsia"/>
          <w:b/>
          <w:bCs/>
          <w:color w:val="000000" w:themeColor="text1"/>
          <w:kern w:val="2"/>
          <w:szCs w:val="24"/>
          <w:highlight w:val="none"/>
          <w14:textFill>
            <w14:solidFill>
              <w14:schemeClr w14:val="tx1"/>
            </w14:solidFill>
          </w14:textFill>
        </w:rPr>
        <w:t>总则</w:t>
      </w:r>
    </w:p>
    <w:p w14:paraId="6396DF7C">
      <w:pPr>
        <w:widowControl/>
        <w:autoSpaceDE w:val="0"/>
        <w:autoSpaceDN w:val="0"/>
        <w:snapToGrid w:val="0"/>
        <w:spacing w:line="360" w:lineRule="auto"/>
        <w:ind w:firstLine="480" w:firstLineChars="200"/>
        <w:textAlignment w:val="bottom"/>
        <w:rPr>
          <w:color w:val="000000" w:themeColor="text1"/>
          <w:kern w:val="2"/>
          <w:szCs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投标人提供一套集控室</w:t>
      </w:r>
      <w:r>
        <w:rPr>
          <w:color w:val="000000" w:themeColor="text1"/>
          <w:sz w:val="24"/>
          <w:highlight w:val="none"/>
          <w14:textFill>
            <w14:solidFill>
              <w14:schemeClr w14:val="tx1"/>
            </w14:solidFill>
          </w14:textFill>
        </w:rPr>
        <w:t>LED</w:t>
      </w:r>
      <w:r>
        <w:rPr>
          <w:rFonts w:hint="eastAsia"/>
          <w:color w:val="000000" w:themeColor="text1"/>
          <w:sz w:val="24"/>
          <w:highlight w:val="none"/>
          <w14:textFill>
            <w14:solidFill>
              <w14:schemeClr w14:val="tx1"/>
            </w14:solidFill>
          </w14:textFill>
        </w:rPr>
        <w:t>大屏显示系统及</w:t>
      </w:r>
      <w:r>
        <w:rPr>
          <w:rFonts w:hint="eastAsia"/>
          <w:color w:val="000000" w:themeColor="text1"/>
          <w:sz w:val="24"/>
          <w:highlight w:val="none"/>
          <w:lang w:val="en-US" w:eastAsia="zh-CN"/>
          <w14:textFill>
            <w14:solidFill>
              <w14:schemeClr w14:val="tx1"/>
            </w14:solidFill>
          </w14:textFill>
        </w:rPr>
        <w:t>23席操作台</w:t>
      </w:r>
      <w:r>
        <w:rPr>
          <w:rFonts w:hint="eastAsia" w:ascii="宋体" w:hAnsi="宋体"/>
          <w:color w:val="000000" w:themeColor="text1"/>
          <w:sz w:val="24"/>
          <w:highlight w:val="none"/>
          <w14:textFill>
            <w14:solidFill>
              <w14:schemeClr w14:val="tx1"/>
            </w14:solidFill>
          </w14:textFill>
        </w:rPr>
        <w:t>。</w:t>
      </w:r>
    </w:p>
    <w:p w14:paraId="4DBA688F">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4.1.1 </w:t>
      </w:r>
      <w:r>
        <w:rPr>
          <w:rFonts w:hint="eastAsia"/>
          <w:color w:val="000000" w:themeColor="text1"/>
          <w:kern w:val="2"/>
          <w:szCs w:val="24"/>
          <w:highlight w:val="none"/>
          <w14:textFill>
            <w14:solidFill>
              <w14:schemeClr w14:val="tx1"/>
            </w14:solidFill>
          </w14:textFill>
        </w:rPr>
        <w:t>投标人提供一套集控室</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大屏显示系统（弧形，含墙上</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显示屏、大屏控制器及配套电源等），安装于集控室操作台前。投标人应详述其集控室</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大屏显示系统的设置方案，最终方案由招标人确定。</w:t>
      </w:r>
    </w:p>
    <w:p w14:paraId="7B4BFF22">
      <w:pPr>
        <w:pStyle w:val="41"/>
        <w:widowControl/>
        <w:autoSpaceDE w:val="0"/>
        <w:autoSpaceDN w:val="0"/>
        <w:adjustRightInd/>
        <w:snapToGrid w:val="0"/>
        <w:spacing w:line="360" w:lineRule="auto"/>
        <w:jc w:val="both"/>
        <w:textAlignment w:val="bottom"/>
        <w:rPr>
          <w:rFonts w:ascii="Arial" w:hAnsi="Arial" w:cs="Arial"/>
          <w:color w:val="000000" w:themeColor="text1"/>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4.1.2 </w:t>
      </w:r>
      <w:r>
        <w:rPr>
          <w:rFonts w:hint="eastAsia"/>
          <w:color w:val="000000" w:themeColor="text1"/>
          <w:kern w:val="2"/>
          <w:szCs w:val="24"/>
          <w:highlight w:val="none"/>
          <w14:textFill>
            <w14:solidFill>
              <w14:schemeClr w14:val="tx1"/>
            </w14:solidFill>
          </w14:textFill>
        </w:rPr>
        <w:t>集控室</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w:t>
      </w:r>
      <w:r>
        <w:rPr>
          <w:rFonts w:hint="eastAsia" w:ascii="Arial" w:hAnsi="Arial" w:cs="Arial"/>
          <w:color w:val="000000" w:themeColor="text1"/>
          <w:highlight w:val="none"/>
          <w14:textFill>
            <w14:solidFill>
              <w14:schemeClr w14:val="tx1"/>
            </w14:solidFill>
          </w14:textFill>
        </w:rPr>
        <w:t>包括</w:t>
      </w:r>
      <w:r>
        <w:rPr>
          <w:rFonts w:ascii="Arial" w:hAnsi="Arial" w:cs="Arial"/>
          <w:color w:val="000000" w:themeColor="text1"/>
          <w:highlight w:val="none"/>
          <w14:textFill>
            <w14:solidFill>
              <w14:schemeClr w14:val="tx1"/>
            </w14:solidFill>
          </w14:textFill>
        </w:rPr>
        <w:t>LED</w:t>
      </w:r>
      <w:r>
        <w:rPr>
          <w:rFonts w:hint="eastAsia" w:ascii="Arial" w:hAnsi="Arial" w:cs="Arial"/>
          <w:color w:val="000000" w:themeColor="text1"/>
          <w:highlight w:val="none"/>
          <w14:textFill>
            <w14:solidFill>
              <w14:schemeClr w14:val="tx1"/>
            </w14:solidFill>
          </w14:textFill>
        </w:rPr>
        <w:t>全彩显示屏（含管理计算机）、系统内配电、所有供货设备之间的线缆。投标</w:t>
      </w:r>
      <w:r>
        <w:rPr>
          <w:rFonts w:hint="eastAsia" w:ascii="Arial" w:hAnsi="Arial" w:cs="Arial"/>
          <w:color w:val="000000" w:themeColor="text1"/>
          <w:highlight w:val="none"/>
          <w:lang w:val="en-US" w:eastAsia="zh-CN"/>
          <w14:textFill>
            <w14:solidFill>
              <w14:schemeClr w14:val="tx1"/>
            </w14:solidFill>
          </w14:textFill>
        </w:rPr>
        <w:t>人</w:t>
      </w:r>
      <w:r>
        <w:rPr>
          <w:rFonts w:hint="eastAsia" w:ascii="Arial" w:hAnsi="Arial" w:cs="Arial"/>
          <w:color w:val="000000" w:themeColor="text1"/>
          <w:highlight w:val="none"/>
          <w14:textFill>
            <w14:solidFill>
              <w14:schemeClr w14:val="tx1"/>
            </w14:solidFill>
          </w14:textFill>
        </w:rPr>
        <w:t>应负责和需外部接口的供货商配合（如全厂安防系统、</w:t>
      </w:r>
      <w:r>
        <w:rPr>
          <w:rFonts w:ascii="Arial" w:hAnsi="Arial" w:cs="Arial"/>
          <w:color w:val="000000" w:themeColor="text1"/>
          <w:highlight w:val="none"/>
          <w14:textFill>
            <w14:solidFill>
              <w14:schemeClr w14:val="tx1"/>
            </w14:solidFill>
          </w14:textFill>
        </w:rPr>
        <w:t>DCS</w:t>
      </w:r>
      <w:r>
        <w:rPr>
          <w:rFonts w:hint="eastAsia" w:ascii="Arial" w:hAnsi="Arial" w:cs="Arial"/>
          <w:color w:val="000000" w:themeColor="text1"/>
          <w:highlight w:val="none"/>
          <w14:textFill>
            <w14:solidFill>
              <w14:schemeClr w14:val="tx1"/>
            </w14:solidFill>
          </w14:textFill>
        </w:rPr>
        <w:t>控制系统、</w:t>
      </w:r>
      <w:r>
        <w:rPr>
          <w:rFonts w:hint="eastAsia" w:cs="Arial"/>
          <w:color w:val="000000" w:themeColor="text1"/>
          <w:highlight w:val="none"/>
          <w14:textFill>
            <w14:solidFill>
              <w14:schemeClr w14:val="tx1"/>
            </w14:solidFill>
          </w14:textFill>
        </w:rPr>
        <w:t>辅助控制系统</w:t>
      </w:r>
      <w:r>
        <w:rPr>
          <w:rFonts w:hint="eastAsia" w:ascii="Arial" w:hAnsi="Arial" w:cs="Arial"/>
          <w:color w:val="000000" w:themeColor="text1"/>
          <w:highlight w:val="none"/>
          <w14:textFill>
            <w14:solidFill>
              <w14:schemeClr w14:val="tx1"/>
            </w14:solidFill>
          </w14:textFill>
        </w:rPr>
        <w:t>等），以保证接口的完备和正常投运。</w:t>
      </w:r>
      <w:r>
        <w:rPr>
          <w:rFonts w:ascii="Arial" w:hAnsi="Arial" w:cs="Arial"/>
          <w:color w:val="000000" w:themeColor="text1"/>
          <w:highlight w:val="none"/>
          <w14:textFill>
            <w14:solidFill>
              <w14:schemeClr w14:val="tx1"/>
            </w14:solidFill>
          </w14:textFill>
        </w:rPr>
        <w:t>LED</w:t>
      </w:r>
      <w:r>
        <w:rPr>
          <w:rFonts w:hint="eastAsia" w:ascii="Arial" w:hAnsi="Arial" w:cs="Arial"/>
          <w:color w:val="000000" w:themeColor="text1"/>
          <w:highlight w:val="none"/>
          <w14:textFill>
            <w14:solidFill>
              <w14:schemeClr w14:val="tx1"/>
            </w14:solidFill>
          </w14:textFill>
        </w:rPr>
        <w:t>全彩显示屏长约</w:t>
      </w:r>
      <w:r>
        <w:rPr>
          <w:rFonts w:ascii="Arial" w:hAnsi="Arial" w:cs="Arial"/>
          <w:color w:val="000000" w:themeColor="text1"/>
          <w:highlight w:val="none"/>
          <w14:textFill>
            <w14:solidFill>
              <w14:schemeClr w14:val="tx1"/>
            </w14:solidFill>
          </w14:textFill>
        </w:rPr>
        <w:t>1</w:t>
      </w:r>
      <w:r>
        <w:rPr>
          <w:rFonts w:hint="eastAsia" w:ascii="Arial" w:hAnsi="Arial" w:cs="Arial"/>
          <w:color w:val="000000" w:themeColor="text1"/>
          <w:highlight w:val="none"/>
          <w:lang w:val="en-US" w:eastAsia="zh-CN"/>
          <w14:textFill>
            <w14:solidFill>
              <w14:schemeClr w14:val="tx1"/>
            </w14:solidFill>
          </w14:textFill>
        </w:rPr>
        <w:t>8.6</w:t>
      </w:r>
      <w:r>
        <w:rPr>
          <w:rFonts w:ascii="Arial" w:hAnsi="Arial" w:cs="Arial"/>
          <w:color w:val="000000" w:themeColor="text1"/>
          <w:highlight w:val="none"/>
          <w14:textFill>
            <w14:solidFill>
              <w14:schemeClr w14:val="tx1"/>
            </w14:solidFill>
          </w14:textFill>
        </w:rPr>
        <w:t>m</w:t>
      </w:r>
      <w:r>
        <w:rPr>
          <w:rFonts w:hint="eastAsia" w:ascii="Arial" w:hAnsi="Arial" w:cs="Arial"/>
          <w:color w:val="000000" w:themeColor="text1"/>
          <w:highlight w:val="none"/>
          <w14:textFill>
            <w14:solidFill>
              <w14:schemeClr w14:val="tx1"/>
            </w14:solidFill>
          </w14:textFill>
        </w:rPr>
        <w:t>，高约</w:t>
      </w:r>
      <w:r>
        <w:rPr>
          <w:rFonts w:ascii="Arial" w:hAnsi="Arial" w:cs="Arial"/>
          <w:color w:val="000000" w:themeColor="text1"/>
          <w:highlight w:val="none"/>
          <w14:textFill>
            <w14:solidFill>
              <w14:schemeClr w14:val="tx1"/>
            </w14:solidFill>
          </w14:textFill>
        </w:rPr>
        <w:t>2.7m</w:t>
      </w:r>
      <w:r>
        <w:rPr>
          <w:rFonts w:hint="eastAsia" w:ascii="Arial" w:hAnsi="Arial" w:cs="Arial"/>
          <w:color w:val="000000" w:themeColor="text1"/>
          <w:highlight w:val="none"/>
          <w14:textFill>
            <w14:solidFill>
              <w14:schemeClr w14:val="tx1"/>
            </w14:solidFill>
          </w14:textFill>
        </w:rPr>
        <w:t>，</w:t>
      </w:r>
      <w:r>
        <w:rPr>
          <w:rFonts w:hint="eastAsia" w:ascii="Arial" w:hAnsi="Arial" w:cs="Arial"/>
          <w:color w:val="000000" w:themeColor="text1"/>
          <w:highlight w:val="none"/>
          <w:lang w:val="en-US" w:eastAsia="zh-CN"/>
          <w14:textFill>
            <w14:solidFill>
              <w14:schemeClr w14:val="tx1"/>
            </w14:solidFill>
          </w14:textFill>
        </w:rPr>
        <w:t>大屏</w:t>
      </w:r>
      <w:r>
        <w:rPr>
          <w:rFonts w:hint="eastAsia" w:ascii="Arial" w:hAnsi="Arial" w:cs="Arial"/>
          <w:color w:val="000000" w:themeColor="text1"/>
          <w:highlight w:val="none"/>
          <w14:textFill>
            <w14:solidFill>
              <w14:schemeClr w14:val="tx1"/>
            </w14:solidFill>
          </w14:textFill>
        </w:rPr>
        <w:t>最终</w:t>
      </w:r>
      <w:r>
        <w:rPr>
          <w:rFonts w:hint="eastAsia" w:ascii="Arial" w:hAnsi="Arial" w:cs="Arial"/>
          <w:color w:val="000000" w:themeColor="text1"/>
          <w:highlight w:val="none"/>
          <w:lang w:val="en-US" w:eastAsia="zh-CN"/>
          <w14:textFill>
            <w14:solidFill>
              <w14:schemeClr w14:val="tx1"/>
            </w14:solidFill>
          </w14:textFill>
        </w:rPr>
        <w:t>画面分割、显示、投屏</w:t>
      </w:r>
      <w:r>
        <w:rPr>
          <w:rFonts w:hint="eastAsia" w:ascii="Arial" w:hAnsi="Arial" w:cs="Arial"/>
          <w:color w:val="000000" w:themeColor="text1"/>
          <w:highlight w:val="none"/>
          <w14:textFill>
            <w14:solidFill>
              <w14:schemeClr w14:val="tx1"/>
            </w14:solidFill>
          </w14:textFill>
        </w:rPr>
        <w:t>方案在设计联络会确定。</w:t>
      </w:r>
    </w:p>
    <w:p w14:paraId="6E1D083F">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4.1.3 </w:t>
      </w:r>
      <w:r>
        <w:rPr>
          <w:rFonts w:hint="eastAsia"/>
          <w:color w:val="000000" w:themeColor="text1"/>
          <w:kern w:val="2"/>
          <w:szCs w:val="24"/>
          <w:highlight w:val="none"/>
          <w14:textFill>
            <w14:solidFill>
              <w14:schemeClr w14:val="tx1"/>
            </w14:solidFill>
          </w14:textFill>
        </w:rPr>
        <w:t>投标人应采用先进、成熟、实用的主流技术，采用主流产品，并提供高质量的实施和调试，使系统达到国内同行业先进水平。</w:t>
      </w:r>
    </w:p>
    <w:p w14:paraId="0D97F601">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4.1.4 </w:t>
      </w:r>
      <w:r>
        <w:rPr>
          <w:rFonts w:hint="eastAsia"/>
          <w:color w:val="000000" w:themeColor="text1"/>
          <w:kern w:val="2"/>
          <w:szCs w:val="24"/>
          <w:highlight w:val="none"/>
          <w14:textFill>
            <w14:solidFill>
              <w14:schemeClr w14:val="tx1"/>
            </w14:solidFill>
          </w14:textFill>
        </w:rPr>
        <w:t>集控室</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大屏显示系统应满足当前实际使用和今后发展的需求，应具有优化系统管理、延长设备使用寿命、减少运行费用、节省能耗等特点。</w:t>
      </w:r>
    </w:p>
    <w:p w14:paraId="68D0BEED">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4.1.5 </w:t>
      </w:r>
      <w:r>
        <w:rPr>
          <w:rFonts w:hint="eastAsia"/>
          <w:color w:val="000000" w:themeColor="text1"/>
          <w:kern w:val="2"/>
          <w:szCs w:val="24"/>
          <w:highlight w:val="none"/>
          <w14:textFill>
            <w14:solidFill>
              <w14:schemeClr w14:val="tx1"/>
            </w14:solidFill>
          </w14:textFill>
        </w:rPr>
        <w:t>投标人在中标后根据本技术规范文件及相关图纸资料进行详细方案设计，并确保设计方案科学、合理、经济。</w:t>
      </w:r>
    </w:p>
    <w:p w14:paraId="67F3CC94">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4.1.6 </w:t>
      </w:r>
      <w:r>
        <w:rPr>
          <w:rFonts w:hint="eastAsia"/>
          <w:color w:val="000000" w:themeColor="text1"/>
          <w:kern w:val="2"/>
          <w:szCs w:val="24"/>
          <w:highlight w:val="none"/>
          <w14:textFill>
            <w14:solidFill>
              <w14:schemeClr w14:val="tx1"/>
            </w14:solidFill>
          </w14:textFill>
        </w:rPr>
        <w:t>投标人应负责设备及软件的供货、实施、调试、培训等工作，应允许并指导招标人的工作人员参与系统的实施、调试、诊断及解决问题等各项工作。</w:t>
      </w:r>
    </w:p>
    <w:p w14:paraId="04ECFF8C">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4.1.7 </w:t>
      </w:r>
      <w:r>
        <w:rPr>
          <w:rFonts w:hint="eastAsia"/>
          <w:color w:val="000000" w:themeColor="text1"/>
          <w:kern w:val="2"/>
          <w:szCs w:val="24"/>
          <w:highlight w:val="none"/>
          <w14:textFill>
            <w14:solidFill>
              <w14:schemeClr w14:val="tx1"/>
            </w14:solidFill>
          </w14:textFill>
        </w:rPr>
        <w:t>除上述之外，投标人负责免费提供与本项目</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大屏显示系统有关的其它所有附件及材料的供货、实施。</w:t>
      </w:r>
    </w:p>
    <w:p w14:paraId="0D23230B">
      <w:pPr>
        <w:pStyle w:val="41"/>
        <w:widowControl/>
        <w:autoSpaceDE w:val="0"/>
        <w:autoSpaceDN w:val="0"/>
        <w:adjustRightInd/>
        <w:snapToGrid w:val="0"/>
        <w:spacing w:line="360" w:lineRule="auto"/>
        <w:jc w:val="both"/>
        <w:textAlignment w:val="bottom"/>
        <w:rPr>
          <w:rFonts w:hint="eastAsia"/>
          <w:strike/>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4.1.8 </w:t>
      </w:r>
      <w:r>
        <w:rPr>
          <w:rFonts w:hint="eastAsia"/>
          <w:color w:val="000000" w:themeColor="text1"/>
          <w:kern w:val="2"/>
          <w:szCs w:val="24"/>
          <w:highlight w:val="none"/>
          <w:lang w:val="en-US" w:eastAsia="zh-CN"/>
          <w14:textFill>
            <w14:solidFill>
              <w14:schemeClr w14:val="tx1"/>
            </w14:solidFill>
          </w14:textFill>
        </w:rPr>
        <w:t>投</w:t>
      </w:r>
      <w:r>
        <w:rPr>
          <w:rFonts w:hint="eastAsia"/>
          <w:color w:val="000000" w:themeColor="text1"/>
          <w:kern w:val="2"/>
          <w:szCs w:val="24"/>
          <w:highlight w:val="none"/>
          <w14:textFill>
            <w14:solidFill>
              <w14:schemeClr w14:val="tx1"/>
            </w14:solidFill>
          </w14:textFill>
        </w:rPr>
        <w:t>标人</w:t>
      </w:r>
      <w:r>
        <w:rPr>
          <w:rFonts w:hint="eastAsia"/>
          <w:color w:val="000000" w:themeColor="text1"/>
          <w:kern w:val="2"/>
          <w:szCs w:val="24"/>
          <w:highlight w:val="none"/>
          <w:lang w:val="en-US" w:eastAsia="zh-CN"/>
          <w14:textFill>
            <w14:solidFill>
              <w14:schemeClr w14:val="tx1"/>
            </w14:solidFill>
          </w14:textFill>
        </w:rPr>
        <w:t>提供LED专业钢结构和外装饰包边的设计、供货及安装</w:t>
      </w:r>
      <w:r>
        <w:rPr>
          <w:rFonts w:hint="eastAsia"/>
          <w:color w:val="000000" w:themeColor="text1"/>
          <w:kern w:val="2"/>
          <w:szCs w:val="24"/>
          <w:highlight w:val="none"/>
          <w14:textFill>
            <w14:solidFill>
              <w14:schemeClr w14:val="tx1"/>
            </w14:solidFill>
          </w14:textFill>
        </w:rPr>
        <w:t>，投标人需</w:t>
      </w:r>
      <w:r>
        <w:rPr>
          <w:rFonts w:hint="eastAsia"/>
          <w:color w:val="000000" w:themeColor="text1"/>
          <w:kern w:val="2"/>
          <w:szCs w:val="24"/>
          <w:highlight w:val="none"/>
          <w:lang w:val="en-US" w:eastAsia="zh-CN"/>
          <w14:textFill>
            <w14:solidFill>
              <w14:schemeClr w14:val="tx1"/>
            </w14:solidFill>
          </w14:textFill>
        </w:rPr>
        <w:t>考虑</w:t>
      </w:r>
      <w:r>
        <w:rPr>
          <w:rFonts w:hint="eastAsia"/>
          <w:color w:val="000000" w:themeColor="text1"/>
          <w:kern w:val="2"/>
          <w:szCs w:val="24"/>
          <w:highlight w:val="none"/>
          <w14:textFill>
            <w14:solidFill>
              <w14:schemeClr w14:val="tx1"/>
            </w14:solidFill>
          </w14:textFill>
        </w:rPr>
        <w:t>LED大屏承重、安装固定、检修及布线等要求</w:t>
      </w:r>
      <w:r>
        <w:rPr>
          <w:rFonts w:hint="eastAsia"/>
          <w:color w:val="000000" w:themeColor="text1"/>
          <w:kern w:val="2"/>
          <w:szCs w:val="24"/>
          <w:highlight w:val="none"/>
          <w:lang w:eastAsia="zh-CN"/>
          <w14:textFill>
            <w14:solidFill>
              <w14:schemeClr w14:val="tx1"/>
            </w14:solidFill>
          </w14:textFill>
        </w:rPr>
        <w:t>。根据现场实际情况，配合装修单位进行设计安装，</w:t>
      </w:r>
      <w:r>
        <w:rPr>
          <w:rFonts w:hint="eastAsia"/>
          <w:color w:val="000000" w:themeColor="text1"/>
          <w:kern w:val="2"/>
          <w:szCs w:val="24"/>
          <w:highlight w:val="none"/>
          <w14:textFill>
            <w14:solidFill>
              <w14:schemeClr w14:val="tx1"/>
            </w14:solidFill>
          </w14:textFill>
        </w:rPr>
        <w:t>以确保集控室整体美观、协调统一。</w:t>
      </w:r>
    </w:p>
    <w:p w14:paraId="128E7934">
      <w:pPr>
        <w:pStyle w:val="41"/>
        <w:widowControl/>
        <w:autoSpaceDE w:val="0"/>
        <w:autoSpaceDN w:val="0"/>
        <w:snapToGrid w:val="0"/>
        <w:spacing w:line="360" w:lineRule="auto"/>
        <w:textAlignment w:val="bottom"/>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 xml:space="preserve">4.2 </w:t>
      </w:r>
      <w:r>
        <w:rPr>
          <w:rFonts w:hint="eastAsia"/>
          <w:b/>
          <w:bCs/>
          <w:color w:val="000000" w:themeColor="text1"/>
          <w:kern w:val="2"/>
          <w:szCs w:val="24"/>
          <w:highlight w:val="none"/>
          <w14:textFill>
            <w14:solidFill>
              <w14:schemeClr w14:val="tx1"/>
            </w14:solidFill>
          </w14:textFill>
        </w:rPr>
        <w:t>投标人的方案要求</w:t>
      </w:r>
    </w:p>
    <w:p w14:paraId="093A478F">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4.2.1 </w:t>
      </w:r>
      <w:r>
        <w:rPr>
          <w:rFonts w:hint="eastAsia"/>
          <w:color w:val="000000" w:themeColor="text1"/>
          <w:kern w:val="2"/>
          <w:szCs w:val="24"/>
          <w:highlight w:val="none"/>
          <w14:textFill>
            <w14:solidFill>
              <w14:schemeClr w14:val="tx1"/>
            </w14:solidFill>
          </w14:textFill>
        </w:rPr>
        <w:t>投标人应在方案书中提供设备的详细配置。</w:t>
      </w:r>
    </w:p>
    <w:p w14:paraId="0EBE3FF9">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4.2.2 </w:t>
      </w:r>
      <w:r>
        <w:rPr>
          <w:rFonts w:hint="eastAsia"/>
          <w:color w:val="000000" w:themeColor="text1"/>
          <w:kern w:val="2"/>
          <w:szCs w:val="24"/>
          <w:highlight w:val="none"/>
          <w14:textFill>
            <w14:solidFill>
              <w14:schemeClr w14:val="tx1"/>
            </w14:solidFill>
          </w14:textFill>
        </w:rPr>
        <w:t>投标人在方案书中应说明对供货时间、运输、实施、调测等进度的具体安排。</w:t>
      </w:r>
    </w:p>
    <w:p w14:paraId="5EDECD89">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4.2.3 </w:t>
      </w:r>
      <w:r>
        <w:rPr>
          <w:rFonts w:hint="eastAsia"/>
          <w:color w:val="000000" w:themeColor="text1"/>
          <w:kern w:val="2"/>
          <w:szCs w:val="24"/>
          <w:highlight w:val="none"/>
          <w14:textFill>
            <w14:solidFill>
              <w14:schemeClr w14:val="tx1"/>
            </w14:solidFill>
          </w14:textFill>
        </w:rPr>
        <w:t>投标人在方案书中应说明给招标人提供的技术文件、技术支持、技术服务、人员培训等的范围和程度。</w:t>
      </w:r>
    </w:p>
    <w:p w14:paraId="75765607">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4.2.4 </w:t>
      </w:r>
      <w:r>
        <w:rPr>
          <w:rFonts w:hint="eastAsia"/>
          <w:color w:val="000000" w:themeColor="text1"/>
          <w:kern w:val="2"/>
          <w:szCs w:val="24"/>
          <w:highlight w:val="none"/>
          <w14:textFill>
            <w14:solidFill>
              <w14:schemeClr w14:val="tx1"/>
            </w14:solidFill>
          </w14:textFill>
        </w:rPr>
        <w:t>投标人应在方案书中列出提供的书面技术资料详细清单。</w:t>
      </w:r>
    </w:p>
    <w:p w14:paraId="34B21832">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4.2.5 </w:t>
      </w:r>
      <w:r>
        <w:rPr>
          <w:rFonts w:hint="eastAsia"/>
          <w:color w:val="000000" w:themeColor="text1"/>
          <w:kern w:val="2"/>
          <w:szCs w:val="24"/>
          <w:highlight w:val="none"/>
          <w14:textFill>
            <w14:solidFill>
              <w14:schemeClr w14:val="tx1"/>
            </w14:solidFill>
          </w14:textFill>
        </w:rPr>
        <w:t>方案的内容格式要求</w:t>
      </w:r>
    </w:p>
    <w:p w14:paraId="79DC5F1D">
      <w:pPr>
        <w:pStyle w:val="41"/>
        <w:snapToGrid w:val="0"/>
        <w:spacing w:line="360" w:lineRule="auto"/>
        <w:ind w:firstLine="48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投标人所提供的方案应按照以下内容格式进行编制：</w:t>
      </w:r>
    </w:p>
    <w:p w14:paraId="30DA9F57">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总体描述及总体方案建议；</w:t>
      </w:r>
    </w:p>
    <w:p w14:paraId="234AE492">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设备配置清单；</w:t>
      </w:r>
    </w:p>
    <w:p w14:paraId="05B1FDB7">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设备情况；</w:t>
      </w:r>
    </w:p>
    <w:p w14:paraId="42DD116D">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场地及环境准备</w:t>
      </w:r>
      <w:r>
        <w:rPr>
          <w:rFonts w:ascii="宋体" w:hAnsi="宋体" w:cs="宋体"/>
          <w:color w:val="000000" w:themeColor="text1"/>
          <w:highlight w:val="none"/>
          <w14:textFill>
            <w14:solidFill>
              <w14:schemeClr w14:val="tx1"/>
            </w14:solidFill>
          </w14:textFill>
        </w:rPr>
        <w:t>(温湿度及环境要求等)；</w:t>
      </w:r>
    </w:p>
    <w:p w14:paraId="7F0012F5">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项目进度安排及项目组织实施方式；</w:t>
      </w:r>
    </w:p>
    <w:p w14:paraId="51E1460F">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验收方案；</w:t>
      </w:r>
    </w:p>
    <w:p w14:paraId="46C51C4D">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培训计划；</w:t>
      </w:r>
    </w:p>
    <w:p w14:paraId="6968CF7F">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技术承诺；</w:t>
      </w:r>
    </w:p>
    <w:p w14:paraId="6A0F78F4">
      <w:pPr>
        <w:pStyle w:val="41"/>
        <w:numPr>
          <w:ilvl w:val="0"/>
          <w:numId w:val="3"/>
        </w:numPr>
        <w:snapToGrid w:val="0"/>
        <w:spacing w:line="360" w:lineRule="auto"/>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维护支持及保修；</w:t>
      </w:r>
    </w:p>
    <w:p w14:paraId="5C44D43A">
      <w:pPr>
        <w:pStyle w:val="41"/>
        <w:widowControl/>
        <w:numPr>
          <w:ilvl w:val="0"/>
          <w:numId w:val="3"/>
        </w:numPr>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资质证明与材料；</w:t>
      </w:r>
    </w:p>
    <w:p w14:paraId="798C1519">
      <w:pPr>
        <w:pStyle w:val="41"/>
        <w:widowControl/>
        <w:numPr>
          <w:ilvl w:val="0"/>
          <w:numId w:val="3"/>
        </w:numPr>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技术文档等。</w:t>
      </w:r>
    </w:p>
    <w:p w14:paraId="7C23817B">
      <w:pPr>
        <w:pStyle w:val="41"/>
        <w:widowControl/>
        <w:autoSpaceDE w:val="0"/>
        <w:autoSpaceDN w:val="0"/>
        <w:snapToGrid w:val="0"/>
        <w:spacing w:line="360" w:lineRule="auto"/>
        <w:textAlignment w:val="bottom"/>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 xml:space="preserve">4.3 </w:t>
      </w:r>
      <w:r>
        <w:rPr>
          <w:rFonts w:hint="eastAsia"/>
          <w:b/>
          <w:bCs/>
          <w:color w:val="000000" w:themeColor="text1"/>
          <w:kern w:val="2"/>
          <w:szCs w:val="24"/>
          <w:highlight w:val="none"/>
          <w14:textFill>
            <w14:solidFill>
              <w14:schemeClr w14:val="tx1"/>
            </w14:solidFill>
          </w14:textFill>
        </w:rPr>
        <w:t>设备要求</w:t>
      </w:r>
    </w:p>
    <w:p w14:paraId="6D333EC2">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4.3.1 </w:t>
      </w:r>
      <w:r>
        <w:rPr>
          <w:rFonts w:hint="eastAsia"/>
          <w:color w:val="000000" w:themeColor="text1"/>
          <w:kern w:val="2"/>
          <w:szCs w:val="24"/>
          <w:highlight w:val="none"/>
          <w14:textFill>
            <w14:solidFill>
              <w14:schemeClr w14:val="tx1"/>
            </w14:solidFill>
          </w14:textFill>
        </w:rPr>
        <w:t>所有硬件设备必须具备原制造厂商的铭牌、标志，所有设备均需得到制造商认证，符合制造商公布的质量标准，凡进口的硬件设备必须通过合法渠道进口。</w:t>
      </w:r>
    </w:p>
    <w:p w14:paraId="195434F8">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4.3.2 </w:t>
      </w:r>
      <w:r>
        <w:rPr>
          <w:rFonts w:hint="eastAsia"/>
          <w:color w:val="000000" w:themeColor="text1"/>
          <w:kern w:val="2"/>
          <w:szCs w:val="24"/>
          <w:highlight w:val="none"/>
          <w14:textFill>
            <w14:solidFill>
              <w14:schemeClr w14:val="tx1"/>
            </w14:solidFill>
          </w14:textFill>
        </w:rPr>
        <w:t>本系统中出现的任何涉及非法进口设备、版权的纠纷，均由投标人承担全部法律责任。</w:t>
      </w:r>
    </w:p>
    <w:p w14:paraId="177BAF04">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4.3.3 </w:t>
      </w:r>
      <w:r>
        <w:rPr>
          <w:rFonts w:hint="eastAsia"/>
          <w:color w:val="000000" w:themeColor="text1"/>
          <w:kern w:val="2"/>
          <w:szCs w:val="24"/>
          <w:highlight w:val="none"/>
          <w14:textFill>
            <w14:solidFill>
              <w14:schemeClr w14:val="tx1"/>
            </w14:solidFill>
          </w14:textFill>
        </w:rPr>
        <w:t>所有软件必须具有原制造厂商的授权证或许可证，应具有功能、性能参数和使用手册。</w:t>
      </w:r>
    </w:p>
    <w:p w14:paraId="78EA7E11">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4.3.4 </w:t>
      </w:r>
      <w:r>
        <w:rPr>
          <w:rFonts w:hint="eastAsia"/>
          <w:color w:val="000000" w:themeColor="text1"/>
          <w:kern w:val="2"/>
          <w:szCs w:val="24"/>
          <w:highlight w:val="none"/>
          <w14:textFill>
            <w14:solidFill>
              <w14:schemeClr w14:val="tx1"/>
            </w14:solidFill>
          </w14:textFill>
        </w:rPr>
        <w:t>投标人在投标文件中必须开列设备的硬件或软件的性能指标或功能说明。</w:t>
      </w:r>
    </w:p>
    <w:p w14:paraId="365DF188">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4.3.5 </w:t>
      </w:r>
      <w:r>
        <w:rPr>
          <w:rFonts w:hint="eastAsia"/>
          <w:color w:val="000000" w:themeColor="text1"/>
          <w:kern w:val="2"/>
          <w:szCs w:val="24"/>
          <w:highlight w:val="none"/>
          <w14:textFill>
            <w14:solidFill>
              <w14:schemeClr w14:val="tx1"/>
            </w14:solidFill>
          </w14:textFill>
        </w:rPr>
        <w:t>投标人应提供设备的数量、配置以及随带软件包的说明，并应保证设备配备的品种、数量准确无误，如有错漏由投标人无偿补足。</w:t>
      </w:r>
    </w:p>
    <w:p w14:paraId="50E14C86">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4.3.6 </w:t>
      </w:r>
      <w:r>
        <w:rPr>
          <w:rFonts w:hint="eastAsia"/>
          <w:color w:val="000000" w:themeColor="text1"/>
          <w:kern w:val="2"/>
          <w:szCs w:val="24"/>
          <w:highlight w:val="none"/>
          <w14:textFill>
            <w14:solidFill>
              <w14:schemeClr w14:val="tx1"/>
            </w14:solidFill>
          </w14:textFill>
        </w:rPr>
        <w:t>考虑到兼容性，</w:t>
      </w:r>
      <w:r>
        <w:rPr>
          <w:rFonts w:hint="eastAsia" w:ascii="宋体" w:hAnsi="宋体" w:eastAsia="宋体" w:cs="宋体"/>
          <w:b w:val="0"/>
          <w:bCs w:val="0"/>
          <w:spacing w:val="-4"/>
          <w:kern w:val="2"/>
          <w:sz w:val="24"/>
          <w:szCs w:val="24"/>
          <w:highlight w:val="none"/>
        </w:rPr>
        <w:t>大屏幕控制器应与LED显示屏</w:t>
      </w:r>
      <w:r>
        <w:rPr>
          <w:rFonts w:hint="eastAsia"/>
          <w:color w:val="000000" w:themeColor="text1"/>
          <w:kern w:val="2"/>
          <w:szCs w:val="24"/>
          <w:highlight w:val="none"/>
          <w:lang w:eastAsia="zh-CN"/>
          <w14:textFill>
            <w14:solidFill>
              <w14:schemeClr w14:val="tx1"/>
            </w14:solidFill>
          </w14:textFill>
        </w:rPr>
        <w:t>、</w:t>
      </w:r>
      <w:r>
        <w:rPr>
          <w:rFonts w:hint="eastAsia"/>
          <w:color w:val="000000" w:themeColor="text1"/>
          <w:kern w:val="2"/>
          <w:szCs w:val="24"/>
          <w:highlight w:val="none"/>
          <w14:textFill>
            <w14:solidFill>
              <w14:schemeClr w14:val="tx1"/>
            </w14:solidFill>
          </w14:textFill>
        </w:rPr>
        <w:t>控制软件须采用同一厂家产品。</w:t>
      </w:r>
    </w:p>
    <w:p w14:paraId="5C18BAC5">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4.3.7 </w:t>
      </w:r>
      <w:r>
        <w:rPr>
          <w:rFonts w:hint="eastAsia"/>
          <w:color w:val="000000" w:themeColor="text1"/>
          <w:kern w:val="2"/>
          <w:szCs w:val="24"/>
          <w:highlight w:val="none"/>
          <w14:textFill>
            <w14:solidFill>
              <w14:schemeClr w14:val="tx1"/>
            </w14:solidFill>
          </w14:textFill>
        </w:rPr>
        <w:t>投标人投标时需开具原厂商的三年质保函、同参数</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屏的出厂参数检测报告与功能测试报告本、</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屏体须通过</w:t>
      </w:r>
      <w:r>
        <w:rPr>
          <w:color w:val="000000" w:themeColor="text1"/>
          <w:kern w:val="2"/>
          <w:szCs w:val="24"/>
          <w:highlight w:val="none"/>
          <w14:textFill>
            <w14:solidFill>
              <w14:schemeClr w14:val="tx1"/>
            </w14:solidFill>
          </w14:textFill>
        </w:rPr>
        <w:t>CCC</w:t>
      </w:r>
      <w:r>
        <w:rPr>
          <w:rFonts w:hint="eastAsia"/>
          <w:color w:val="000000" w:themeColor="text1"/>
          <w:kern w:val="2"/>
          <w:szCs w:val="24"/>
          <w:highlight w:val="none"/>
          <w14:textFill>
            <w14:solidFill>
              <w14:schemeClr w14:val="tx1"/>
            </w14:solidFill>
          </w14:textFill>
        </w:rPr>
        <w:t>强制认证，并提供证书复印件加盖原厂公章。</w:t>
      </w:r>
    </w:p>
    <w:p w14:paraId="7692E69C">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4.3.8  LED</w:t>
      </w:r>
      <w:r>
        <w:rPr>
          <w:rFonts w:hint="eastAsia"/>
          <w:color w:val="000000" w:themeColor="text1"/>
          <w:kern w:val="2"/>
          <w:szCs w:val="24"/>
          <w:highlight w:val="none"/>
          <w14:textFill>
            <w14:solidFill>
              <w14:schemeClr w14:val="tx1"/>
            </w14:solidFill>
          </w14:textFill>
        </w:rPr>
        <w:t>显示屏制造商应具有</w:t>
      </w:r>
      <w:r>
        <w:rPr>
          <w:color w:val="000000" w:themeColor="text1"/>
          <w:kern w:val="2"/>
          <w:szCs w:val="24"/>
          <w:highlight w:val="none"/>
          <w14:textFill>
            <w14:solidFill>
              <w14:schemeClr w14:val="tx1"/>
            </w14:solidFill>
          </w14:textFill>
        </w:rPr>
        <w:t>ISO 14001</w:t>
      </w:r>
      <w:r>
        <w:rPr>
          <w:rFonts w:hint="eastAsia"/>
          <w:color w:val="000000" w:themeColor="text1"/>
          <w:kern w:val="2"/>
          <w:szCs w:val="24"/>
          <w:highlight w:val="none"/>
          <w14:textFill>
            <w14:solidFill>
              <w14:schemeClr w14:val="tx1"/>
            </w14:solidFill>
          </w14:textFill>
        </w:rPr>
        <w:t>环境管理体系、</w:t>
      </w:r>
      <w:r>
        <w:rPr>
          <w:color w:val="000000" w:themeColor="text1"/>
          <w:kern w:val="2"/>
          <w:szCs w:val="24"/>
          <w:highlight w:val="none"/>
          <w14:textFill>
            <w14:solidFill>
              <w14:schemeClr w14:val="tx1"/>
            </w14:solidFill>
          </w14:textFill>
        </w:rPr>
        <w:t>ISO 9001</w:t>
      </w:r>
      <w:r>
        <w:rPr>
          <w:rFonts w:hint="eastAsia"/>
          <w:color w:val="000000" w:themeColor="text1"/>
          <w:kern w:val="2"/>
          <w:szCs w:val="24"/>
          <w:highlight w:val="none"/>
          <w14:textFill>
            <w14:solidFill>
              <w14:schemeClr w14:val="tx1"/>
            </w14:solidFill>
          </w14:textFill>
        </w:rPr>
        <w:t>质量管理体系、</w:t>
      </w:r>
      <w:r>
        <w:rPr>
          <w:color w:val="000000" w:themeColor="text1"/>
          <w:kern w:val="2"/>
          <w:szCs w:val="24"/>
          <w:highlight w:val="none"/>
          <w14:textFill>
            <w14:solidFill>
              <w14:schemeClr w14:val="tx1"/>
            </w14:solidFill>
          </w14:textFill>
        </w:rPr>
        <w:t>ISO 45001</w:t>
      </w:r>
      <w:r>
        <w:rPr>
          <w:rFonts w:hint="eastAsia"/>
          <w:color w:val="000000" w:themeColor="text1"/>
          <w:kern w:val="2"/>
          <w:szCs w:val="24"/>
          <w:highlight w:val="none"/>
          <w14:textFill>
            <w14:solidFill>
              <w14:schemeClr w14:val="tx1"/>
            </w14:solidFill>
          </w14:textFill>
        </w:rPr>
        <w:t>职业健康安全管理体系、</w:t>
      </w:r>
      <w:r>
        <w:rPr>
          <w:color w:val="000000" w:themeColor="text1"/>
          <w:kern w:val="2"/>
          <w:szCs w:val="24"/>
          <w:highlight w:val="none"/>
          <w14:textFill>
            <w14:solidFill>
              <w14:schemeClr w14:val="tx1"/>
            </w14:solidFill>
          </w14:textFill>
        </w:rPr>
        <w:t>ISO 27001</w:t>
      </w:r>
      <w:r>
        <w:rPr>
          <w:rFonts w:hint="eastAsia"/>
          <w:color w:val="000000" w:themeColor="text1"/>
          <w:kern w:val="2"/>
          <w:szCs w:val="24"/>
          <w:highlight w:val="none"/>
          <w14:textFill>
            <w14:solidFill>
              <w14:schemeClr w14:val="tx1"/>
            </w14:solidFill>
          </w14:textFill>
        </w:rPr>
        <w:t>信息安全管理体系认证。室内</w:t>
      </w:r>
      <w:r>
        <w:rPr>
          <w:rFonts w:hint="eastAsia"/>
          <w:color w:val="000000" w:themeColor="text1"/>
          <w:kern w:val="2"/>
          <w:szCs w:val="24"/>
          <w:highlight w:val="none"/>
          <w:lang w:val="en-US" w:eastAsia="zh-CN"/>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显示屏投标产品需提供：</w:t>
      </w:r>
      <w:r>
        <w:rPr>
          <w:rFonts w:hint="eastAsia" w:ascii="宋体" w:hAnsi="宋体" w:eastAsia="宋体" w:cs="宋体"/>
          <w:b w:val="0"/>
          <w:bCs w:val="0"/>
          <w:color w:val="000000"/>
          <w:sz w:val="24"/>
          <w:szCs w:val="24"/>
          <w:highlight w:val="none"/>
        </w:rPr>
        <w:t>投标</w:t>
      </w:r>
      <w:r>
        <w:rPr>
          <w:rFonts w:hint="eastAsia" w:ascii="宋体" w:hAnsi="宋体" w:cs="宋体"/>
          <w:b w:val="0"/>
          <w:bCs w:val="0"/>
          <w:color w:val="000000"/>
          <w:sz w:val="24"/>
          <w:szCs w:val="24"/>
          <w:highlight w:val="none"/>
          <w:lang w:val="en-US" w:eastAsia="zh-CN"/>
        </w:rPr>
        <w:t>人</w:t>
      </w:r>
      <w:r>
        <w:rPr>
          <w:rFonts w:hint="eastAsia" w:ascii="宋体" w:hAnsi="宋体" w:eastAsia="宋体" w:cs="宋体"/>
          <w:b w:val="0"/>
          <w:bCs w:val="0"/>
          <w:color w:val="000000"/>
          <w:sz w:val="24"/>
          <w:szCs w:val="24"/>
          <w:highlight w:val="none"/>
          <w:lang w:val="en-US" w:eastAsia="zh-CN"/>
        </w:rPr>
        <w:t>应提供</w:t>
      </w:r>
      <w:r>
        <w:rPr>
          <w:rFonts w:hint="eastAsia" w:ascii="宋体" w:hAnsi="宋体" w:eastAsia="宋体" w:cs="宋体"/>
          <w:b w:val="0"/>
          <w:bCs w:val="0"/>
          <w:color w:val="000000"/>
          <w:sz w:val="24"/>
          <w:szCs w:val="24"/>
          <w:highlight w:val="none"/>
        </w:rPr>
        <w:t>LED显示屏需提供中国环保产品（II型）认证证书、中国环境标志产品认证证书、CCC认证证书</w:t>
      </w:r>
      <w:r>
        <w:rPr>
          <w:rFonts w:hint="eastAsia" w:ascii="宋体" w:hAnsi="宋体" w:cs="宋体"/>
          <w:b w:val="0"/>
          <w:bCs w:val="0"/>
          <w:color w:val="000000"/>
          <w:sz w:val="24"/>
          <w:szCs w:val="24"/>
          <w:highlight w:val="none"/>
          <w:lang w:val="en-US" w:eastAsia="zh-CN"/>
        </w:rPr>
        <w:t>等</w:t>
      </w:r>
      <w:r>
        <w:rPr>
          <w:rFonts w:hint="eastAsia" w:ascii="宋体" w:hAnsi="宋体" w:eastAsia="宋体" w:cs="宋体"/>
          <w:b w:val="0"/>
          <w:bCs w:val="0"/>
          <w:color w:val="000000"/>
          <w:sz w:val="24"/>
          <w:szCs w:val="24"/>
          <w:highlight w:val="none"/>
        </w:rPr>
        <w:t>相关证书复印件并加盖单位公章</w:t>
      </w:r>
      <w:r>
        <w:rPr>
          <w:rFonts w:hint="eastAsia"/>
          <w:color w:val="000000" w:themeColor="text1"/>
          <w:kern w:val="2"/>
          <w:szCs w:val="24"/>
          <w:highlight w:val="none"/>
          <w14:textFill>
            <w14:solidFill>
              <w14:schemeClr w14:val="tx1"/>
            </w14:solidFill>
          </w14:textFill>
        </w:rPr>
        <w:t>。</w:t>
      </w:r>
    </w:p>
    <w:p w14:paraId="2F24894D">
      <w:pPr>
        <w:pStyle w:val="41"/>
        <w:widowControl/>
        <w:autoSpaceDE w:val="0"/>
        <w:autoSpaceDN w:val="0"/>
        <w:adjustRightInd/>
        <w:snapToGrid w:val="0"/>
        <w:spacing w:line="360" w:lineRule="auto"/>
        <w:jc w:val="both"/>
        <w:textAlignment w:val="bottom"/>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 xml:space="preserve">4.4 </w:t>
      </w:r>
      <w:r>
        <w:rPr>
          <w:rFonts w:hint="eastAsia"/>
          <w:b/>
          <w:bCs/>
          <w:color w:val="000000" w:themeColor="text1"/>
          <w:kern w:val="2"/>
          <w:szCs w:val="24"/>
          <w:highlight w:val="none"/>
          <w14:textFill>
            <w14:solidFill>
              <w14:schemeClr w14:val="tx1"/>
            </w14:solidFill>
          </w14:textFill>
        </w:rPr>
        <w:t>管理要求</w:t>
      </w:r>
    </w:p>
    <w:p w14:paraId="42AC4CB8">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4.4.1 </w:t>
      </w:r>
      <w:r>
        <w:rPr>
          <w:rFonts w:hint="eastAsia"/>
          <w:color w:val="000000" w:themeColor="text1"/>
          <w:kern w:val="2"/>
          <w:szCs w:val="24"/>
          <w:highlight w:val="none"/>
          <w14:textFill>
            <w14:solidFill>
              <w14:schemeClr w14:val="tx1"/>
            </w14:solidFill>
          </w14:textFill>
        </w:rPr>
        <w:t>要求投标人有丰富的工程管理经验和技术过硬、经验丰富的工程实施队伍，有丰富的大屏显示系统建设管理、实施经验。</w:t>
      </w:r>
    </w:p>
    <w:p w14:paraId="5FE7A1BC">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4.4.2 </w:t>
      </w:r>
      <w:r>
        <w:rPr>
          <w:rFonts w:hint="eastAsia"/>
          <w:color w:val="000000" w:themeColor="text1"/>
          <w:kern w:val="2"/>
          <w:szCs w:val="24"/>
          <w:highlight w:val="none"/>
          <w14:textFill>
            <w14:solidFill>
              <w14:schemeClr w14:val="tx1"/>
            </w14:solidFill>
          </w14:textFill>
        </w:rPr>
        <w:t>投标人应负责软硬件供货、实施、调试、培训等管理工作，按照电力行业安全文明施工要求开展施工、调试，应允许并指导招标人的工作人员参与系统的实施、调试、诊断及解决问题等各项工作。</w:t>
      </w:r>
    </w:p>
    <w:p w14:paraId="6BD40D5D">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4.4.3 </w:t>
      </w:r>
      <w:r>
        <w:rPr>
          <w:rFonts w:hint="eastAsia"/>
          <w:color w:val="000000" w:themeColor="text1"/>
          <w:kern w:val="2"/>
          <w:szCs w:val="24"/>
          <w:highlight w:val="none"/>
          <w14:textFill>
            <w14:solidFill>
              <w14:schemeClr w14:val="tx1"/>
            </w14:solidFill>
          </w14:textFill>
        </w:rPr>
        <w:t>投标人应选派具备相当经验和工作能力的专业人员参加管理工作，在标书中对项目实施人员安排进行说明。</w:t>
      </w:r>
    </w:p>
    <w:p w14:paraId="4181F503">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4.4.4 </w:t>
      </w:r>
      <w:r>
        <w:rPr>
          <w:rFonts w:hint="eastAsia"/>
          <w:color w:val="000000" w:themeColor="text1"/>
          <w:kern w:val="2"/>
          <w:szCs w:val="24"/>
          <w:highlight w:val="none"/>
          <w14:textFill>
            <w14:solidFill>
              <w14:schemeClr w14:val="tx1"/>
            </w14:solidFill>
          </w14:textFill>
        </w:rPr>
        <w:t>投标人在现场安装调试过程中，应服从招标人统一管理。</w:t>
      </w:r>
    </w:p>
    <w:p w14:paraId="2DF916A3">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4.4.5 </w:t>
      </w:r>
      <w:r>
        <w:rPr>
          <w:rFonts w:hint="eastAsia"/>
          <w:color w:val="000000" w:themeColor="text1"/>
          <w:kern w:val="2"/>
          <w:szCs w:val="24"/>
          <w:highlight w:val="none"/>
          <w14:textFill>
            <w14:solidFill>
              <w14:schemeClr w14:val="tx1"/>
            </w14:solidFill>
          </w14:textFill>
        </w:rPr>
        <w:t>投标人负责现场实施、配置、调试和服务，直到所供设备能令人满意地投入运行，达到全部功能要求。</w:t>
      </w:r>
    </w:p>
    <w:p w14:paraId="059EF079">
      <w:pPr>
        <w:pStyle w:val="41"/>
        <w:widowControl/>
        <w:autoSpaceDE w:val="0"/>
        <w:autoSpaceDN w:val="0"/>
        <w:adjustRightInd/>
        <w:snapToGrid w:val="0"/>
        <w:spacing w:line="360" w:lineRule="auto"/>
        <w:jc w:val="both"/>
        <w:textAlignment w:val="bottom"/>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 xml:space="preserve">4.5 </w:t>
      </w:r>
      <w:r>
        <w:rPr>
          <w:rFonts w:hint="eastAsia"/>
          <w:b/>
          <w:bCs/>
          <w:color w:val="000000" w:themeColor="text1"/>
          <w:kern w:val="2"/>
          <w:szCs w:val="24"/>
          <w:highlight w:val="none"/>
          <w14:textFill>
            <w14:solidFill>
              <w14:schemeClr w14:val="tx1"/>
            </w14:solidFill>
          </w14:textFill>
        </w:rPr>
        <w:t>技术要求</w:t>
      </w:r>
    </w:p>
    <w:p w14:paraId="5E56201E">
      <w:pPr>
        <w:pStyle w:val="41"/>
        <w:widowControl/>
        <w:autoSpaceDE w:val="0"/>
        <w:autoSpaceDN w:val="0"/>
        <w:adjustRightInd/>
        <w:snapToGrid w:val="0"/>
        <w:spacing w:line="360" w:lineRule="auto"/>
        <w:ind w:firstLine="480" w:firstLineChars="200"/>
        <w:jc w:val="both"/>
        <w:textAlignment w:val="bottom"/>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投标人应提供高质量、安全可靠、符合实际需求的集控室大屏系统设备产品，并提供个性化的解决方案，技术要求如下：</w:t>
      </w:r>
    </w:p>
    <w:p w14:paraId="35A15368">
      <w:pPr>
        <w:pStyle w:val="41"/>
        <w:widowControl/>
        <w:autoSpaceDE w:val="0"/>
        <w:autoSpaceDN w:val="0"/>
        <w:adjustRightInd/>
        <w:snapToGrid w:val="0"/>
        <w:spacing w:line="360" w:lineRule="auto"/>
        <w:jc w:val="both"/>
        <w:textAlignment w:val="bottom"/>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4.5.1 LED</w:t>
      </w:r>
      <w:r>
        <w:rPr>
          <w:rFonts w:hint="eastAsia"/>
          <w:b/>
          <w:bCs/>
          <w:color w:val="000000" w:themeColor="text1"/>
          <w:kern w:val="2"/>
          <w:szCs w:val="24"/>
          <w:highlight w:val="none"/>
          <w14:textFill>
            <w14:solidFill>
              <w14:schemeClr w14:val="tx1"/>
            </w14:solidFill>
          </w14:textFill>
        </w:rPr>
        <w:t>全彩显示屏</w:t>
      </w:r>
    </w:p>
    <w:p w14:paraId="29E95D51">
      <w:pPr>
        <w:pStyle w:val="41"/>
        <w:widowControl/>
        <w:autoSpaceDE w:val="0"/>
        <w:autoSpaceDN w:val="0"/>
        <w:adjustRightInd/>
        <w:snapToGrid w:val="0"/>
        <w:spacing w:line="360" w:lineRule="auto"/>
        <w:ind w:firstLine="480" w:firstLineChars="200"/>
        <w:jc w:val="both"/>
        <w:textAlignment w:val="bottom"/>
        <w:rPr>
          <w:rFonts w:hint="eastAsia" w:eastAsia="宋体"/>
          <w:highlight w:val="none"/>
          <w:lang w:val="en-US" w:eastAsia="zh-CN"/>
        </w:rPr>
      </w:pPr>
      <w:r>
        <w:rPr>
          <w:rFonts w:hint="eastAsia"/>
          <w:highlight w:val="none"/>
        </w:rPr>
        <w:t>集控室大屏采用</w:t>
      </w:r>
      <w:r>
        <w:rPr>
          <w:highlight w:val="none"/>
        </w:rPr>
        <w:t>LED</w:t>
      </w:r>
      <w:r>
        <w:rPr>
          <w:rFonts w:hint="eastAsia"/>
          <w:highlight w:val="none"/>
        </w:rPr>
        <w:t>全彩显示屏，显示无缝拼接，画面色彩亮度均匀一致，无分割，没有黑线，采用小间距</w:t>
      </w:r>
      <w:r>
        <w:rPr>
          <w:highlight w:val="none"/>
        </w:rPr>
        <w:t>LED</w:t>
      </w:r>
      <w:r>
        <w:rPr>
          <w:rFonts w:hint="eastAsia"/>
          <w:highlight w:val="none"/>
        </w:rPr>
        <w:t>显示屏，小间距</w:t>
      </w:r>
      <w:r>
        <w:rPr>
          <w:highlight w:val="none"/>
        </w:rPr>
        <w:t>LED</w:t>
      </w:r>
      <w:r>
        <w:rPr>
          <w:rFonts w:hint="eastAsia"/>
          <w:highlight w:val="none"/>
        </w:rPr>
        <w:t>显示屏（弧形）屏幕为：长约</w:t>
      </w:r>
      <w:r>
        <w:rPr>
          <w:highlight w:val="none"/>
        </w:rPr>
        <w:t>1</w:t>
      </w:r>
      <w:r>
        <w:rPr>
          <w:rFonts w:hint="eastAsia"/>
          <w:highlight w:val="none"/>
          <w:lang w:val="en-US" w:eastAsia="zh-CN"/>
        </w:rPr>
        <w:t>8.6</w:t>
      </w:r>
      <w:r>
        <w:rPr>
          <w:highlight w:val="none"/>
        </w:rPr>
        <w:t xml:space="preserve">m </w:t>
      </w:r>
      <w:r>
        <w:rPr>
          <w:rFonts w:hint="eastAsia"/>
          <w:highlight w:val="none"/>
        </w:rPr>
        <w:t>、高约</w:t>
      </w:r>
      <w:r>
        <w:rPr>
          <w:highlight w:val="none"/>
        </w:rPr>
        <w:t>2.7m</w:t>
      </w:r>
      <w:r>
        <w:rPr>
          <w:rFonts w:hint="eastAsia"/>
          <w:highlight w:val="none"/>
        </w:rPr>
        <w:t>，面积不小于</w:t>
      </w:r>
      <w:r>
        <w:rPr>
          <w:highlight w:val="none"/>
        </w:rPr>
        <w:t>5</w:t>
      </w:r>
      <w:r>
        <w:rPr>
          <w:rFonts w:hint="eastAsia"/>
          <w:highlight w:val="none"/>
          <w:lang w:val="en-US" w:eastAsia="zh-CN"/>
        </w:rPr>
        <w:t>0.22</w:t>
      </w:r>
      <w:r>
        <w:rPr>
          <w:highlight w:val="none"/>
        </w:rPr>
        <w:t>m</w:t>
      </w:r>
      <w:r>
        <w:rPr>
          <w:rFonts w:hint="eastAsia"/>
          <w:highlight w:val="none"/>
          <w:vertAlign w:val="superscript"/>
        </w:rPr>
        <w:t>2</w:t>
      </w:r>
      <w:r>
        <w:rPr>
          <w:highlight w:val="none"/>
        </w:rPr>
        <w:t>（暂定）</w:t>
      </w:r>
      <w:r>
        <w:rPr>
          <w:rFonts w:hint="eastAsia"/>
          <w:highlight w:val="none"/>
        </w:rPr>
        <w:t>。为固定超薄前维护安装形式。</w:t>
      </w:r>
    </w:p>
    <w:p w14:paraId="41580353">
      <w:pPr>
        <w:pStyle w:val="41"/>
        <w:widowControl/>
        <w:autoSpaceDE w:val="0"/>
        <w:autoSpaceDN w:val="0"/>
        <w:adjustRightInd/>
        <w:snapToGrid w:val="0"/>
        <w:spacing w:line="360" w:lineRule="auto"/>
        <w:ind w:firstLine="480" w:firstLineChars="200"/>
        <w:jc w:val="both"/>
        <w:textAlignment w:val="bottom"/>
        <w:rPr>
          <w:kern w:val="2"/>
          <w:szCs w:val="24"/>
          <w:highlight w:val="none"/>
        </w:rPr>
      </w:pPr>
      <w:r>
        <w:rPr>
          <w:rFonts w:hint="eastAsia"/>
          <w:highlight w:val="none"/>
        </w:rPr>
        <w:t>具体参数要求（供货后，招标人有权针对各技术参数要求投标人提供首页具有</w:t>
      </w:r>
      <w:r>
        <w:rPr>
          <w:highlight w:val="none"/>
        </w:rPr>
        <w:t>CMA</w:t>
      </w:r>
      <w:r>
        <w:rPr>
          <w:rFonts w:hint="eastAsia"/>
          <w:highlight w:val="none"/>
        </w:rPr>
        <w:t>标识的第三方检测报告复印件并加盖厂家公章）：</w:t>
      </w:r>
    </w:p>
    <w:p w14:paraId="79087355">
      <w:pPr>
        <w:pStyle w:val="41"/>
        <w:widowControl/>
        <w:autoSpaceDE w:val="0"/>
        <w:autoSpaceDN w:val="0"/>
        <w:adjustRightInd/>
        <w:snapToGrid w:val="0"/>
        <w:spacing w:line="360" w:lineRule="auto"/>
        <w:ind w:firstLine="480" w:firstLineChars="200"/>
        <w:jc w:val="both"/>
        <w:textAlignment w:val="bottom"/>
        <w:rPr>
          <w:kern w:val="2"/>
          <w:szCs w:val="24"/>
          <w:highlight w:val="none"/>
        </w:rPr>
      </w:pPr>
      <w:r>
        <w:rPr>
          <w:highlight w:val="none"/>
        </w:rPr>
        <w:t>LED</w:t>
      </w:r>
      <w:r>
        <w:rPr>
          <w:rFonts w:hint="eastAsia"/>
          <w:highlight w:val="none"/>
        </w:rPr>
        <w:t>像素点间距≤</w:t>
      </w:r>
      <w:r>
        <w:rPr>
          <w:highlight w:val="none"/>
        </w:rPr>
        <w:t>1.25mm</w:t>
      </w:r>
      <w:r>
        <w:rPr>
          <w:rFonts w:hint="eastAsia"/>
          <w:highlight w:val="none"/>
          <w:lang w:eastAsia="zh-CN"/>
        </w:rPr>
        <w:t>，</w:t>
      </w:r>
      <w:r>
        <w:rPr>
          <w:rFonts w:hint="eastAsia"/>
          <w:highlight w:val="none"/>
        </w:rPr>
        <w:t>像素密度≥</w:t>
      </w:r>
      <w:r>
        <w:rPr>
          <w:highlight w:val="none"/>
        </w:rPr>
        <w:t>640000</w:t>
      </w:r>
      <w:r>
        <w:rPr>
          <w:rFonts w:hint="eastAsia"/>
          <w:highlight w:val="none"/>
        </w:rPr>
        <w:t>点</w:t>
      </w:r>
      <w:r>
        <w:rPr>
          <w:highlight w:val="none"/>
        </w:rPr>
        <w:t>/</w:t>
      </w:r>
      <w:r>
        <w:rPr>
          <w:rFonts w:hint="eastAsia"/>
          <w:highlight w:val="none"/>
        </w:rPr>
        <w:t>㎡，</w:t>
      </w:r>
      <w:r>
        <w:rPr>
          <w:rFonts w:hint="default"/>
          <w:highlight w:val="none"/>
          <w:lang w:val="en-US"/>
        </w:rPr>
        <w:t>SMD</w:t>
      </w:r>
      <w:r>
        <w:rPr>
          <w:rFonts w:hint="eastAsia"/>
          <w:highlight w:val="none"/>
        </w:rPr>
        <w:t>封装</w:t>
      </w:r>
      <w:r>
        <w:rPr>
          <w:highlight w:val="none"/>
        </w:rPr>
        <w:t>1R1G1B</w:t>
      </w:r>
      <w:r>
        <w:rPr>
          <w:rFonts w:hint="eastAsia"/>
          <w:highlight w:val="none"/>
        </w:rPr>
        <w:t>，</w:t>
      </w:r>
      <w:r>
        <w:rPr>
          <w:highlight w:val="none"/>
        </w:rPr>
        <w:t>RGB</w:t>
      </w:r>
      <w:r>
        <w:rPr>
          <w:rFonts w:hint="eastAsia"/>
          <w:highlight w:val="none"/>
        </w:rPr>
        <w:t>芯片全倒装共阴极驱动。</w:t>
      </w:r>
      <w:r>
        <w:rPr>
          <w:rFonts w:hint="eastAsia"/>
          <w:highlight w:val="none"/>
          <w:lang w:val="en-US" w:eastAsia="zh-CN"/>
        </w:rPr>
        <w:t>标准灰度≥8bit，要求</w:t>
      </w:r>
      <w:r>
        <w:rPr>
          <w:rFonts w:hint="eastAsia" w:ascii="宋体" w:hAnsi="宋体" w:eastAsia="宋体" w:cs="Times New Roman"/>
          <w:color w:val="000000" w:themeColor="text1"/>
          <w:sz w:val="24"/>
          <w:highlight w:val="none"/>
          <w:lang w:val="zh-CN"/>
          <w14:textFill>
            <w14:solidFill>
              <w14:schemeClr w14:val="tx1"/>
            </w14:solidFill>
          </w14:textFill>
        </w:rPr>
        <w:t>使8bit液晶屏实现10bit的显示效果，灰度等级从256级增加到1024级，画面层次丰富、色彩逼真</w:t>
      </w:r>
      <w:r>
        <w:rPr>
          <w:rFonts w:hint="eastAsia" w:ascii="宋体" w:hAnsi="宋体" w:cs="Times New Roman"/>
          <w:color w:val="000000" w:themeColor="text1"/>
          <w:sz w:val="24"/>
          <w:highlight w:val="none"/>
          <w:lang w:val="zh-CN"/>
          <w14:textFill>
            <w14:solidFill>
              <w14:schemeClr w14:val="tx1"/>
            </w14:solidFill>
          </w14:textFill>
        </w:rPr>
        <w:t>。</w:t>
      </w:r>
    </w:p>
    <w:p w14:paraId="2A7F67FE">
      <w:pPr>
        <w:pStyle w:val="41"/>
        <w:widowControl/>
        <w:autoSpaceDE w:val="0"/>
        <w:autoSpaceDN w:val="0"/>
        <w:adjustRightInd/>
        <w:snapToGrid w:val="0"/>
        <w:spacing w:line="360" w:lineRule="auto"/>
        <w:ind w:firstLine="480" w:firstLineChars="200"/>
        <w:jc w:val="both"/>
        <w:textAlignment w:val="bottom"/>
        <w:rPr>
          <w:rFonts w:hint="eastAsia" w:eastAsia="宋体"/>
          <w:highlight w:val="none"/>
          <w:lang w:eastAsia="zh-CN"/>
        </w:rPr>
      </w:pPr>
      <w:r>
        <w:rPr>
          <w:rFonts w:hint="eastAsia"/>
          <w:highlight w:val="none"/>
        </w:rPr>
        <w:t>采用共阴驱动</w:t>
      </w:r>
      <w:r>
        <w:rPr>
          <w:highlight w:val="none"/>
        </w:rPr>
        <w:t>+</w:t>
      </w:r>
      <w:r>
        <w:rPr>
          <w:rFonts w:hint="eastAsia"/>
          <w:highlight w:val="none"/>
        </w:rPr>
        <w:t>高制程驱动</w:t>
      </w:r>
      <w:r>
        <w:rPr>
          <w:highlight w:val="none"/>
        </w:rPr>
        <w:t>+</w:t>
      </w:r>
      <w:r>
        <w:rPr>
          <w:rFonts w:hint="eastAsia"/>
          <w:highlight w:val="none"/>
        </w:rPr>
        <w:t>倒装</w:t>
      </w:r>
      <w:r>
        <w:rPr>
          <w:highlight w:val="none"/>
        </w:rPr>
        <w:t>+</w:t>
      </w:r>
      <w:r>
        <w:rPr>
          <w:rFonts w:hint="eastAsia"/>
          <w:highlight w:val="none"/>
        </w:rPr>
        <w:t>动态引擎算法等先进工艺技术，可有效降低</w:t>
      </w:r>
      <w:r>
        <w:rPr>
          <w:highlight w:val="none"/>
        </w:rPr>
        <w:t>LED</w:t>
      </w:r>
      <w:r>
        <w:rPr>
          <w:rFonts w:hint="eastAsia"/>
          <w:highlight w:val="none"/>
        </w:rPr>
        <w:t>屏的功耗、降低屏体表面温度、降低</w:t>
      </w:r>
      <w:r>
        <w:rPr>
          <w:highlight w:val="none"/>
        </w:rPr>
        <w:t>LED</w:t>
      </w:r>
      <w:r>
        <w:rPr>
          <w:rFonts w:hint="eastAsia"/>
          <w:highlight w:val="none"/>
        </w:rPr>
        <w:t>屏整体厚度。</w:t>
      </w:r>
    </w:p>
    <w:p w14:paraId="5DFE07E3">
      <w:pPr>
        <w:autoSpaceDE w:val="0"/>
        <w:autoSpaceDN w:val="0"/>
        <w:spacing w:line="360" w:lineRule="auto"/>
        <w:ind w:firstLine="480" w:firstLineChars="200"/>
        <w:rPr>
          <w:rFonts w:hint="eastAsia" w:ascii="宋体" w:hAnsi="宋体" w:cs="宋体"/>
          <w:b w:val="0"/>
          <w:bCs w:val="0"/>
          <w:color w:val="000000"/>
          <w:spacing w:val="-4"/>
          <w:kern w:val="2"/>
          <w:sz w:val="24"/>
          <w:szCs w:val="24"/>
          <w:highlight w:val="none"/>
          <w:lang w:eastAsia="zh-CN"/>
        </w:rPr>
      </w:pPr>
      <w:r>
        <w:rPr>
          <w:rFonts w:hint="eastAsia" w:ascii="宋体" w:hAnsi="宋体" w:cs="宋体"/>
          <w:sz w:val="24"/>
          <w:highlight w:val="none"/>
        </w:rPr>
        <w:t>显示屏幕峰值亮度≥600nits</w:t>
      </w:r>
      <w:r>
        <w:rPr>
          <w:rFonts w:hint="eastAsia" w:ascii="宋体" w:hAnsi="宋体" w:cs="宋体"/>
          <w:sz w:val="24"/>
          <w:highlight w:val="none"/>
          <w:lang w:eastAsia="zh-CN"/>
        </w:rPr>
        <w:t>，</w:t>
      </w:r>
      <w:r>
        <w:rPr>
          <w:rFonts w:hint="eastAsia" w:ascii="宋体" w:hAnsi="宋体" w:cs="宋体"/>
          <w:sz w:val="24"/>
          <w:highlight w:val="none"/>
        </w:rPr>
        <w:t>峰值功耗＜235W/㎡（600nits亮度），平均功耗＜81W/㎡(600nits亮度)</w:t>
      </w:r>
      <w:r>
        <w:rPr>
          <w:rFonts w:hint="eastAsia" w:ascii="宋体" w:hAnsi="宋体" w:cs="宋体"/>
          <w:sz w:val="24"/>
          <w:highlight w:val="none"/>
          <w:lang w:eastAsia="zh-CN"/>
        </w:rPr>
        <w:t>，</w:t>
      </w:r>
      <w:r>
        <w:rPr>
          <w:rFonts w:hint="eastAsia" w:ascii="宋体" w:hAnsi="宋体" w:eastAsia="宋体" w:cs="宋体"/>
          <w:b w:val="0"/>
          <w:bCs w:val="0"/>
          <w:color w:val="000000"/>
          <w:spacing w:val="-4"/>
          <w:kern w:val="2"/>
          <w:sz w:val="24"/>
          <w:szCs w:val="24"/>
          <w:highlight w:val="none"/>
        </w:rPr>
        <w:t>平整度、拼缝≤0.1mm</w:t>
      </w:r>
      <w:r>
        <w:rPr>
          <w:rFonts w:hint="eastAsia" w:ascii="宋体" w:hAnsi="宋体" w:eastAsia="宋体" w:cs="宋体"/>
          <w:b w:val="0"/>
          <w:bCs w:val="0"/>
          <w:color w:val="000000"/>
          <w:spacing w:val="-4"/>
          <w:kern w:val="2"/>
          <w:sz w:val="24"/>
          <w:szCs w:val="24"/>
          <w:highlight w:val="none"/>
          <w:lang w:eastAsia="zh-CN"/>
        </w:rPr>
        <w:t>，</w:t>
      </w:r>
      <w:r>
        <w:rPr>
          <w:rFonts w:hint="eastAsia" w:ascii="宋体" w:hAnsi="宋体" w:eastAsia="宋体" w:cs="宋体"/>
          <w:b w:val="0"/>
          <w:bCs w:val="0"/>
          <w:color w:val="000000"/>
          <w:spacing w:val="-4"/>
          <w:kern w:val="2"/>
          <w:sz w:val="24"/>
          <w:szCs w:val="24"/>
          <w:highlight w:val="none"/>
          <w:lang w:val="en-US" w:eastAsia="zh-CN"/>
        </w:rPr>
        <w:t>拼接处无明显色差，无亮度断层</w:t>
      </w:r>
      <w:r>
        <w:rPr>
          <w:rFonts w:hint="eastAsia" w:ascii="宋体" w:hAnsi="宋体" w:cs="宋体"/>
          <w:sz w:val="24"/>
          <w:highlight w:val="none"/>
        </w:rPr>
        <w:t>。</w:t>
      </w:r>
      <w:r>
        <w:rPr>
          <w:rFonts w:hint="eastAsia" w:ascii="宋体" w:hAnsi="宋体" w:cs="宋体"/>
          <w:b/>
          <w:bCs/>
          <w:caps/>
          <w:color w:val="000000"/>
          <w:kern w:val="44"/>
          <w:sz w:val="24"/>
          <w:szCs w:val="24"/>
          <w:highlight w:val="none"/>
        </w:rPr>
        <w:t xml:space="preserve"> </w:t>
      </w:r>
      <w:r>
        <w:rPr>
          <w:rFonts w:hint="eastAsia" w:ascii="宋体" w:hAnsi="宋体" w:cs="宋体"/>
          <w:color w:val="000000"/>
          <w:spacing w:val="-4"/>
          <w:sz w:val="24"/>
          <w:szCs w:val="24"/>
          <w:highlight w:val="none"/>
        </w:rPr>
        <w:t>LED屏幕通过局域网客户端，局域网WEB端，红外遥控器，射频遥控器，物理按键五种方式实现亮度调节</w:t>
      </w:r>
      <w:r>
        <w:rPr>
          <w:rFonts w:hint="eastAsia" w:ascii="宋体" w:hAnsi="宋体" w:cs="宋体"/>
          <w:color w:val="000000"/>
          <w:spacing w:val="-4"/>
          <w:sz w:val="24"/>
          <w:szCs w:val="24"/>
          <w:highlight w:val="none"/>
          <w:lang w:eastAsia="zh-CN"/>
        </w:rPr>
        <w:t>。</w:t>
      </w:r>
      <w:r>
        <w:rPr>
          <w:rFonts w:hint="eastAsia" w:ascii="宋体" w:hAnsi="宋体" w:cs="宋体"/>
          <w:sz w:val="24"/>
          <w:highlight w:val="none"/>
          <w:lang w:val="en-US" w:eastAsia="zh-CN"/>
        </w:rPr>
        <w:t>显示屏</w:t>
      </w:r>
      <w:r>
        <w:rPr>
          <w:rFonts w:hint="eastAsia" w:ascii="宋体" w:hAnsi="宋体" w:eastAsia="宋体" w:cs="宋体"/>
          <w:b w:val="0"/>
          <w:bCs w:val="0"/>
          <w:color w:val="000000"/>
          <w:spacing w:val="-4"/>
          <w:kern w:val="2"/>
          <w:sz w:val="24"/>
          <w:szCs w:val="24"/>
          <w:highlight w:val="none"/>
        </w:rPr>
        <w:t>对比度</w:t>
      </w:r>
      <w:r>
        <w:rPr>
          <w:rFonts w:hint="eastAsia" w:ascii="宋体" w:hAnsi="宋体" w:cs="宋体"/>
          <w:b w:val="0"/>
          <w:bCs w:val="0"/>
          <w:color w:val="000000"/>
          <w:spacing w:val="-4"/>
          <w:kern w:val="2"/>
          <w:sz w:val="24"/>
          <w:szCs w:val="24"/>
          <w:highlight w:val="none"/>
          <w:lang w:val="en-US" w:eastAsia="zh-CN"/>
        </w:rPr>
        <w:t>为</w:t>
      </w:r>
      <w:r>
        <w:rPr>
          <w:rFonts w:hint="eastAsia" w:ascii="宋体" w:hAnsi="宋体" w:eastAsia="宋体" w:cs="宋体"/>
          <w:b w:val="0"/>
          <w:bCs w:val="0"/>
          <w:color w:val="000000"/>
          <w:spacing w:val="-4"/>
          <w:kern w:val="2"/>
          <w:sz w:val="24"/>
          <w:szCs w:val="24"/>
          <w:highlight w:val="none"/>
        </w:rPr>
        <w:t>15000:1</w:t>
      </w:r>
      <w:r>
        <w:rPr>
          <w:rFonts w:hint="eastAsia" w:ascii="宋体" w:hAnsi="宋体" w:cs="宋体"/>
          <w:b w:val="0"/>
          <w:bCs w:val="0"/>
          <w:color w:val="000000"/>
          <w:spacing w:val="-4"/>
          <w:kern w:val="2"/>
          <w:sz w:val="24"/>
          <w:szCs w:val="24"/>
          <w:highlight w:val="none"/>
          <w:lang w:eastAsia="zh-CN"/>
        </w:rPr>
        <w:t>；</w:t>
      </w:r>
      <w:r>
        <w:rPr>
          <w:rFonts w:hint="eastAsia" w:ascii="宋体" w:hAnsi="宋体" w:eastAsia="宋体" w:cs="宋体"/>
          <w:b w:val="0"/>
          <w:bCs w:val="0"/>
          <w:color w:val="000000"/>
          <w:spacing w:val="-4"/>
          <w:kern w:val="2"/>
          <w:sz w:val="24"/>
          <w:szCs w:val="24"/>
          <w:highlight w:val="none"/>
        </w:rPr>
        <w:t>色温：6500K（色温可调节）</w:t>
      </w:r>
      <w:r>
        <w:rPr>
          <w:rFonts w:hint="eastAsia" w:ascii="宋体" w:hAnsi="宋体" w:eastAsia="宋体" w:cs="宋体"/>
          <w:b w:val="0"/>
          <w:bCs w:val="0"/>
          <w:color w:val="000000"/>
          <w:spacing w:val="-4"/>
          <w:kern w:val="2"/>
          <w:sz w:val="24"/>
          <w:szCs w:val="24"/>
          <w:highlight w:val="none"/>
          <w:lang w:eastAsia="zh-CN"/>
        </w:rPr>
        <w:t>；</w:t>
      </w:r>
      <w:r>
        <w:rPr>
          <w:rFonts w:hint="eastAsia" w:ascii="宋体" w:hAnsi="宋体" w:eastAsia="宋体" w:cs="宋体"/>
          <w:b w:val="0"/>
          <w:bCs w:val="0"/>
          <w:color w:val="000000"/>
          <w:spacing w:val="-4"/>
          <w:kern w:val="2"/>
          <w:sz w:val="24"/>
          <w:szCs w:val="24"/>
          <w:highlight w:val="none"/>
        </w:rPr>
        <w:t>刷新率不小于3840Hz，支持通过配套软件调节刷新率设置选项</w:t>
      </w:r>
      <w:r>
        <w:rPr>
          <w:rFonts w:hint="eastAsia" w:ascii="宋体" w:hAnsi="宋体" w:eastAsia="宋体" w:cs="宋体"/>
          <w:b w:val="0"/>
          <w:bCs w:val="0"/>
          <w:color w:val="000000"/>
          <w:spacing w:val="-4"/>
          <w:kern w:val="2"/>
          <w:sz w:val="24"/>
          <w:szCs w:val="24"/>
          <w:highlight w:val="none"/>
          <w:lang w:eastAsia="zh-CN"/>
        </w:rPr>
        <w:t>；</w:t>
      </w:r>
      <w:r>
        <w:rPr>
          <w:rFonts w:hint="eastAsia" w:ascii="宋体" w:hAnsi="宋体" w:eastAsia="宋体" w:cs="宋体"/>
          <w:b w:val="0"/>
          <w:bCs w:val="0"/>
          <w:color w:val="000000"/>
          <w:spacing w:val="-4"/>
          <w:kern w:val="2"/>
          <w:sz w:val="24"/>
          <w:szCs w:val="24"/>
          <w:highlight w:val="none"/>
        </w:rPr>
        <w:t>水平视角/垂直视角：176°/176°</w:t>
      </w:r>
      <w:r>
        <w:rPr>
          <w:rFonts w:hint="eastAsia" w:ascii="宋体" w:hAnsi="宋体" w:cs="宋体"/>
          <w:b w:val="0"/>
          <w:bCs w:val="0"/>
          <w:color w:val="000000"/>
          <w:spacing w:val="-4"/>
          <w:kern w:val="2"/>
          <w:sz w:val="24"/>
          <w:szCs w:val="24"/>
          <w:highlight w:val="none"/>
          <w:lang w:eastAsia="zh-CN"/>
        </w:rPr>
        <w:t>。</w:t>
      </w:r>
    </w:p>
    <w:p w14:paraId="08529351">
      <w:pPr>
        <w:spacing w:line="360" w:lineRule="auto"/>
        <w:ind w:firstLine="480" w:firstLineChars="200"/>
        <w:rPr>
          <w:rFonts w:hint="eastAsia" w:eastAsia="宋体"/>
          <w:sz w:val="24"/>
          <w:highlight w:val="none"/>
          <w:lang w:eastAsia="zh-CN"/>
        </w:rPr>
      </w:pPr>
      <w:r>
        <w:rPr>
          <w:rFonts w:hint="eastAsia"/>
          <w:sz w:val="24"/>
          <w:highlight w:val="none"/>
        </w:rPr>
        <w:t>连续工作时间</w:t>
      </w:r>
      <w:r>
        <w:rPr>
          <w:rFonts w:hint="eastAsia"/>
          <w:sz w:val="24"/>
          <w:highlight w:val="none"/>
          <w:lang w:eastAsia="zh-CN"/>
        </w:rPr>
        <w:t>：</w:t>
      </w:r>
      <w:r>
        <w:rPr>
          <w:sz w:val="24"/>
          <w:highlight w:val="none"/>
          <w:lang w:val="zh-CN"/>
        </w:rPr>
        <w:t>365X24</w:t>
      </w:r>
      <w:r>
        <w:rPr>
          <w:rFonts w:hint="eastAsia"/>
          <w:sz w:val="24"/>
          <w:highlight w:val="none"/>
          <w:lang w:val="zh-CN"/>
        </w:rPr>
        <w:t>小时；</w:t>
      </w:r>
      <w:r>
        <w:rPr>
          <w:rFonts w:hint="eastAsia"/>
          <w:sz w:val="24"/>
          <w:highlight w:val="none"/>
        </w:rPr>
        <w:t>寿命典型值</w:t>
      </w:r>
      <w:r>
        <w:rPr>
          <w:rFonts w:hint="eastAsia"/>
          <w:sz w:val="24"/>
          <w:highlight w:val="none"/>
          <w:lang w:val="en-US" w:eastAsia="zh-CN"/>
        </w:rPr>
        <w:t>≥</w:t>
      </w:r>
      <w:r>
        <w:rPr>
          <w:sz w:val="24"/>
          <w:highlight w:val="none"/>
        </w:rPr>
        <w:t>10</w:t>
      </w:r>
      <w:r>
        <w:rPr>
          <w:rFonts w:hint="eastAsia"/>
          <w:sz w:val="24"/>
          <w:highlight w:val="none"/>
        </w:rPr>
        <w:t>0，000 小时</w:t>
      </w:r>
      <w:r>
        <w:rPr>
          <w:rFonts w:hint="eastAsia"/>
          <w:sz w:val="24"/>
          <w:highlight w:val="none"/>
          <w:lang w:eastAsia="zh-CN"/>
        </w:rPr>
        <w:t>。</w:t>
      </w:r>
    </w:p>
    <w:p w14:paraId="20703375">
      <w:pPr>
        <w:pStyle w:val="41"/>
        <w:spacing w:line="360" w:lineRule="auto"/>
        <w:ind w:firstLine="480" w:firstLineChars="200"/>
        <w:rPr>
          <w:szCs w:val="24"/>
          <w:highlight w:val="none"/>
        </w:rPr>
      </w:pPr>
      <w:r>
        <w:rPr>
          <w:rFonts w:hint="eastAsia"/>
          <w:szCs w:val="24"/>
          <w:highlight w:val="none"/>
        </w:rPr>
        <w:t>工作湿度：最高工作环境温度下，相对湿度</w:t>
      </w:r>
      <w:r>
        <w:rPr>
          <w:szCs w:val="24"/>
          <w:highlight w:val="none"/>
        </w:rPr>
        <w:t>10%~90%</w:t>
      </w:r>
      <w:r>
        <w:rPr>
          <w:rFonts w:hint="eastAsia"/>
          <w:szCs w:val="24"/>
          <w:highlight w:val="none"/>
        </w:rPr>
        <w:t>，通电工作</w:t>
      </w:r>
      <w:r>
        <w:rPr>
          <w:szCs w:val="24"/>
          <w:highlight w:val="none"/>
        </w:rPr>
        <w:t>8h</w:t>
      </w:r>
      <w:r>
        <w:rPr>
          <w:rFonts w:hint="eastAsia"/>
          <w:szCs w:val="24"/>
          <w:highlight w:val="none"/>
        </w:rPr>
        <w:t>，无凝露。</w:t>
      </w:r>
    </w:p>
    <w:p w14:paraId="74BD3FEB">
      <w:pPr>
        <w:pStyle w:val="41"/>
        <w:spacing w:line="360" w:lineRule="auto"/>
        <w:ind w:firstLine="480" w:firstLineChars="200"/>
        <w:rPr>
          <w:kern w:val="2"/>
          <w:szCs w:val="24"/>
          <w:highlight w:val="none"/>
        </w:rPr>
      </w:pPr>
      <w:r>
        <w:rPr>
          <w:rFonts w:hint="eastAsia"/>
          <w:highlight w:val="none"/>
        </w:rPr>
        <w:t>根据</w:t>
      </w:r>
      <w:r>
        <w:rPr>
          <w:highlight w:val="none"/>
        </w:rPr>
        <w:t>SJ/T11590-2016LED</w:t>
      </w:r>
      <w:r>
        <w:rPr>
          <w:rFonts w:hint="eastAsia"/>
          <w:highlight w:val="none"/>
        </w:rPr>
        <w:t>显示屏图像质量主观评价方法</w:t>
      </w:r>
      <w:r>
        <w:rPr>
          <w:rFonts w:hint="eastAsia"/>
          <w:highlight w:val="none"/>
          <w:lang w:eastAsia="zh-CN"/>
        </w:rPr>
        <w:t>，</w:t>
      </w:r>
      <w:r>
        <w:rPr>
          <w:rFonts w:hint="eastAsia"/>
          <w:highlight w:val="none"/>
          <w:lang w:val="en-US" w:eastAsia="zh-CN"/>
        </w:rPr>
        <w:t>要求</w:t>
      </w:r>
      <w:r>
        <w:rPr>
          <w:rFonts w:hint="eastAsia" w:ascii="宋体" w:hAnsi="宋体" w:eastAsia="宋体" w:cs="宋体"/>
          <w:b w:val="0"/>
          <w:bCs w:val="0"/>
          <w:color w:val="000000"/>
          <w:spacing w:val="-4"/>
          <w:kern w:val="2"/>
          <w:sz w:val="24"/>
          <w:szCs w:val="24"/>
          <w:highlight w:val="none"/>
        </w:rPr>
        <w:t>色度均匀性：±0.001Cx,Cy之内</w:t>
      </w:r>
      <w:r>
        <w:rPr>
          <w:rFonts w:hint="eastAsia"/>
          <w:highlight w:val="none"/>
        </w:rPr>
        <w:t>，从正面及侧面分别观察亮度及色度是否均匀，是否有马赛克现象及灰尘效应。符合评价为优。</w:t>
      </w:r>
    </w:p>
    <w:p w14:paraId="215E0E3D">
      <w:pPr>
        <w:pStyle w:val="41"/>
        <w:spacing w:line="360" w:lineRule="auto"/>
        <w:ind w:firstLine="480" w:firstLineChars="200"/>
        <w:rPr>
          <w:highlight w:val="none"/>
        </w:rPr>
      </w:pPr>
      <w:r>
        <w:rPr>
          <w:rFonts w:hint="eastAsia"/>
          <w:highlight w:val="none"/>
        </w:rPr>
        <w:t>根据</w:t>
      </w:r>
      <w:r>
        <w:rPr>
          <w:highlight w:val="none"/>
        </w:rPr>
        <w:t>SJ/T11590-2016LED</w:t>
      </w:r>
      <w:r>
        <w:rPr>
          <w:rFonts w:hint="eastAsia"/>
          <w:highlight w:val="none"/>
        </w:rPr>
        <w:t>显示屏图像质量主观评价方法，从正面及侧面分别观察模块及箱体的拼缝处，是否存在高于正常亮度的亮线条或低于正常亮度的暗线条。符合评价</w:t>
      </w:r>
      <w:r>
        <w:rPr>
          <w:rFonts w:hint="eastAsia"/>
          <w:highlight w:val="none"/>
          <w:lang w:val="en-US" w:eastAsia="zh-CN"/>
        </w:rPr>
        <w:t>为</w:t>
      </w:r>
      <w:r>
        <w:rPr>
          <w:rFonts w:hint="eastAsia"/>
          <w:highlight w:val="none"/>
        </w:rPr>
        <w:t>优。</w:t>
      </w:r>
    </w:p>
    <w:p w14:paraId="374DDB55">
      <w:pPr>
        <w:pStyle w:val="41"/>
        <w:spacing w:line="360" w:lineRule="auto"/>
        <w:ind w:firstLine="480" w:firstLineChars="200"/>
        <w:rPr>
          <w:kern w:val="2"/>
          <w:szCs w:val="24"/>
          <w:highlight w:val="none"/>
        </w:rPr>
      </w:pPr>
      <w:r>
        <w:rPr>
          <w:rFonts w:hint="eastAsia"/>
          <w:highlight w:val="none"/>
        </w:rPr>
        <w:t>依据</w:t>
      </w:r>
      <w:r>
        <w:rPr>
          <w:highlight w:val="none"/>
        </w:rPr>
        <w:t>GB/T20145-2006</w:t>
      </w:r>
      <w:r>
        <w:rPr>
          <w:rFonts w:hint="eastAsia"/>
          <w:highlight w:val="none"/>
        </w:rPr>
        <w:t>标准要求，</w:t>
      </w:r>
      <w:r>
        <w:rPr>
          <w:highlight w:val="none"/>
        </w:rPr>
        <w:t>LED</w:t>
      </w:r>
      <w:r>
        <w:rPr>
          <w:rFonts w:hint="eastAsia"/>
          <w:highlight w:val="none"/>
        </w:rPr>
        <w:t>显示屏辐亮度≤</w:t>
      </w:r>
      <w:r>
        <w:rPr>
          <w:highlight w:val="none"/>
        </w:rPr>
        <w:t>100 W</w:t>
      </w:r>
      <w:r>
        <w:rPr>
          <w:rFonts w:hint="eastAsia"/>
          <w:highlight w:val="none"/>
        </w:rPr>
        <w:t>·</w:t>
      </w:r>
      <w:r>
        <w:rPr>
          <w:highlight w:val="none"/>
        </w:rPr>
        <w:t>m^-2</w:t>
      </w:r>
      <w:r>
        <w:rPr>
          <w:rFonts w:hint="eastAsia"/>
          <w:highlight w:val="none"/>
        </w:rPr>
        <w:t>·</w:t>
      </w:r>
      <w:r>
        <w:rPr>
          <w:highlight w:val="none"/>
        </w:rPr>
        <w:t>sr^-1</w:t>
      </w:r>
      <w:r>
        <w:rPr>
          <w:rFonts w:hint="eastAsia"/>
          <w:highlight w:val="none"/>
        </w:rPr>
        <w:t>，判定级别为</w:t>
      </w:r>
      <w:r>
        <w:rPr>
          <w:highlight w:val="none"/>
        </w:rPr>
        <w:t>RG0</w:t>
      </w:r>
      <w:r>
        <w:rPr>
          <w:rFonts w:hint="eastAsia"/>
          <w:highlight w:val="none"/>
        </w:rPr>
        <w:t>无危害级，</w:t>
      </w:r>
      <w:r>
        <w:rPr>
          <w:highlight w:val="none"/>
        </w:rPr>
        <w:t>LED</w:t>
      </w:r>
      <w:r>
        <w:rPr>
          <w:rFonts w:hint="eastAsia"/>
          <w:highlight w:val="none"/>
        </w:rPr>
        <w:t>屏幕蓝光辐射符合国标无危害级要求。</w:t>
      </w:r>
    </w:p>
    <w:p w14:paraId="00C8EA3F">
      <w:pPr>
        <w:pStyle w:val="41"/>
        <w:spacing w:line="360" w:lineRule="auto"/>
        <w:ind w:firstLine="480" w:firstLineChars="200"/>
        <w:rPr>
          <w:kern w:val="2"/>
          <w:szCs w:val="24"/>
          <w:highlight w:val="none"/>
        </w:rPr>
      </w:pPr>
      <w:r>
        <w:rPr>
          <w:rFonts w:hint="eastAsia"/>
          <w:highlight w:val="none"/>
        </w:rPr>
        <w:t>支架组装式设计，支架采用组装式设计，支持拆装。</w:t>
      </w:r>
    </w:p>
    <w:p w14:paraId="4FBB6F9B">
      <w:pPr>
        <w:pStyle w:val="41"/>
        <w:spacing w:line="360" w:lineRule="auto"/>
        <w:ind w:firstLine="480" w:firstLineChars="200"/>
        <w:rPr>
          <w:kern w:val="2"/>
          <w:szCs w:val="24"/>
          <w:highlight w:val="none"/>
        </w:rPr>
      </w:pPr>
      <w:r>
        <w:rPr>
          <w:highlight w:val="none"/>
        </w:rPr>
        <w:t>LED</w:t>
      </w:r>
      <w:r>
        <w:rPr>
          <w:rFonts w:hint="eastAsia"/>
          <w:highlight w:val="none"/>
        </w:rPr>
        <w:t>单元箱体间连接网线具备</w:t>
      </w:r>
      <w:r>
        <w:rPr>
          <w:highlight w:val="none"/>
        </w:rPr>
        <w:t>L</w:t>
      </w:r>
      <w:r>
        <w:rPr>
          <w:rFonts w:hint="eastAsia"/>
          <w:highlight w:val="none"/>
        </w:rPr>
        <w:t>型等非矩形框架走线方式，网线利用率＞</w:t>
      </w:r>
      <w:r>
        <w:rPr>
          <w:highlight w:val="none"/>
        </w:rPr>
        <w:t>95%</w:t>
      </w:r>
      <w:r>
        <w:rPr>
          <w:rFonts w:hint="eastAsia"/>
          <w:highlight w:val="none"/>
          <w:lang w:val="en-US" w:eastAsia="zh-CN"/>
        </w:rPr>
        <w:t xml:space="preserve"> </w:t>
      </w:r>
      <w:r>
        <w:rPr>
          <w:rFonts w:hint="eastAsia"/>
          <w:highlight w:val="none"/>
        </w:rPr>
        <w:t>。</w:t>
      </w:r>
    </w:p>
    <w:p w14:paraId="102CF646">
      <w:pPr>
        <w:pStyle w:val="41"/>
        <w:spacing w:line="360" w:lineRule="auto"/>
        <w:ind w:firstLine="480" w:firstLineChars="200"/>
        <w:rPr>
          <w:rFonts w:hint="eastAsia"/>
          <w:highlight w:val="none"/>
        </w:rPr>
      </w:pPr>
      <w:r>
        <w:rPr>
          <w:highlight w:val="none"/>
        </w:rPr>
        <w:t>LED</w:t>
      </w:r>
      <w:r>
        <w:rPr>
          <w:rFonts w:hint="eastAsia"/>
          <w:highlight w:val="none"/>
        </w:rPr>
        <w:t>屏幕通过局域网客户端，局域网</w:t>
      </w:r>
      <w:r>
        <w:rPr>
          <w:highlight w:val="none"/>
        </w:rPr>
        <w:t>WEB</w:t>
      </w:r>
      <w:r>
        <w:rPr>
          <w:rFonts w:hint="eastAsia"/>
          <w:highlight w:val="none"/>
        </w:rPr>
        <w:t>端，红外遥控器，射频遥控器，物理按键五种种方式实现亮度调节。</w:t>
      </w:r>
    </w:p>
    <w:p w14:paraId="1D9E5023">
      <w:pPr>
        <w:spacing w:line="360" w:lineRule="auto"/>
        <w:ind w:firstLine="464" w:firstLineChars="200"/>
        <w:rPr>
          <w:rFonts w:hint="eastAsia" w:ascii="宋体" w:hAnsi="宋体" w:cs="宋体"/>
          <w:color w:val="000000"/>
          <w:spacing w:val="-4"/>
          <w:sz w:val="24"/>
          <w:szCs w:val="24"/>
          <w:highlight w:val="none"/>
          <w:lang w:eastAsia="zh-CN"/>
        </w:rPr>
      </w:pPr>
      <w:r>
        <w:rPr>
          <w:rFonts w:hint="eastAsia" w:ascii="宋体" w:hAnsi="宋体" w:cs="宋体"/>
          <w:color w:val="000000"/>
          <w:spacing w:val="-4"/>
          <w:sz w:val="24"/>
          <w:szCs w:val="24"/>
          <w:highlight w:val="none"/>
          <w:lang w:eastAsia="zh-CN"/>
        </w:rPr>
        <w:t>投标人</w:t>
      </w:r>
      <w:r>
        <w:rPr>
          <w:rFonts w:hint="eastAsia" w:ascii="宋体" w:hAnsi="宋体" w:eastAsia="宋体" w:cs="宋体"/>
          <w:color w:val="000000"/>
          <w:spacing w:val="-4"/>
          <w:sz w:val="24"/>
          <w:szCs w:val="24"/>
          <w:highlight w:val="none"/>
        </w:rPr>
        <w:t>提供的大屏系统必须能够与厂内的安防系统对接</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lang w:val="en-US" w:eastAsia="zh-CN"/>
        </w:rPr>
        <w:t>含老厂部分，包括汽包水位监视系统等</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rPr>
        <w:t>，确保大屏系统能够正常显示厂内安防监控画面内容</w:t>
      </w:r>
      <w:r>
        <w:rPr>
          <w:rFonts w:hint="eastAsia" w:ascii="宋体" w:hAnsi="宋体" w:cs="宋体"/>
          <w:color w:val="000000"/>
          <w:spacing w:val="-4"/>
          <w:sz w:val="24"/>
          <w:szCs w:val="24"/>
          <w:highlight w:val="none"/>
          <w:lang w:eastAsia="zh-CN"/>
        </w:rPr>
        <w:t>。</w:t>
      </w:r>
    </w:p>
    <w:p w14:paraId="6CD8CB5C">
      <w:pPr>
        <w:spacing w:line="360" w:lineRule="auto"/>
        <w:ind w:firstLine="464" w:firstLineChars="200"/>
        <w:rPr>
          <w:rFonts w:hint="eastAsia" w:ascii="宋体" w:hAnsi="宋体" w:cs="宋体"/>
          <w:b w:val="0"/>
          <w:bCs w:val="0"/>
          <w:color w:val="000000"/>
          <w:spacing w:val="-4"/>
          <w:sz w:val="24"/>
          <w:szCs w:val="24"/>
          <w:highlight w:val="none"/>
          <w:lang w:eastAsia="zh-CN"/>
        </w:rPr>
      </w:pPr>
      <w:r>
        <w:rPr>
          <w:rFonts w:hint="eastAsia" w:ascii="宋体" w:hAnsi="宋体" w:eastAsia="宋体" w:cs="宋体"/>
          <w:b w:val="0"/>
          <w:bCs w:val="0"/>
          <w:color w:val="000000"/>
          <w:spacing w:val="-4"/>
          <w:sz w:val="24"/>
          <w:szCs w:val="24"/>
          <w:highlight w:val="none"/>
        </w:rPr>
        <w:t>大屏幕显示器应带有声音控制、消音、单声道/立体声选择功能。本工程不设常规声光报警光字牌，投标人应利用大屏幕和DCS操作员站实现常规声光报警光字牌的一切功能</w:t>
      </w:r>
      <w:r>
        <w:rPr>
          <w:rFonts w:hint="eastAsia" w:ascii="宋体" w:hAnsi="宋体" w:cs="宋体"/>
          <w:b w:val="0"/>
          <w:bCs w:val="0"/>
          <w:color w:val="000000"/>
          <w:spacing w:val="-4"/>
          <w:sz w:val="24"/>
          <w:szCs w:val="24"/>
          <w:highlight w:val="none"/>
          <w:lang w:eastAsia="zh-CN"/>
        </w:rPr>
        <w:t>。</w:t>
      </w:r>
    </w:p>
    <w:p w14:paraId="0BBD0793">
      <w:pPr>
        <w:pStyle w:val="2"/>
        <w:spacing w:line="360" w:lineRule="auto"/>
        <w:ind w:firstLine="464" w:firstLineChars="200"/>
        <w:rPr>
          <w:rFonts w:hint="eastAsia" w:ascii="宋体" w:hAnsi="宋体" w:eastAsia="宋体" w:cs="宋体"/>
          <w:color w:val="000000"/>
          <w:spacing w:val="-4"/>
          <w:sz w:val="24"/>
          <w:szCs w:val="24"/>
          <w:highlight w:val="none"/>
          <w:lang w:eastAsia="zh-CN"/>
        </w:rPr>
      </w:pPr>
      <w:r>
        <w:rPr>
          <w:rFonts w:hint="eastAsia" w:ascii="宋体" w:hAnsi="宋体" w:eastAsia="宋体" w:cs="宋体"/>
          <w:color w:val="000000"/>
          <w:spacing w:val="-4"/>
          <w:sz w:val="24"/>
          <w:szCs w:val="24"/>
          <w:highlight w:val="none"/>
          <w:lang w:eastAsia="zh-CN"/>
        </w:rPr>
        <w:t>DCS系统画面投屏到LED显示系统的完整技术要求整理如下（</w:t>
      </w:r>
      <w:r>
        <w:rPr>
          <w:rFonts w:hint="eastAsia" w:ascii="宋体" w:hAnsi="宋体" w:eastAsia="宋体" w:cs="宋体"/>
          <w:color w:val="000000"/>
          <w:spacing w:val="-4"/>
          <w:sz w:val="24"/>
          <w:szCs w:val="24"/>
          <w:highlight w:val="none"/>
          <w:lang w:val="en-US" w:eastAsia="zh-CN"/>
        </w:rPr>
        <w:t>含老厂部分，包括汽包水位监视系统等</w:t>
      </w:r>
      <w:r>
        <w:rPr>
          <w:rFonts w:hint="eastAsia" w:ascii="宋体" w:hAnsi="宋体" w:eastAsia="宋体" w:cs="宋体"/>
          <w:color w:val="000000"/>
          <w:spacing w:val="-4"/>
          <w:sz w:val="24"/>
          <w:szCs w:val="24"/>
          <w:highlight w:val="none"/>
          <w:lang w:eastAsia="zh-CN"/>
        </w:rPr>
        <w:t>）：</w:t>
      </w:r>
    </w:p>
    <w:p w14:paraId="418CE215">
      <w:pPr>
        <w:spacing w:line="360" w:lineRule="auto"/>
        <w:ind w:firstLine="464" w:firstLineChars="200"/>
        <w:rPr>
          <w:rFonts w:hint="eastAsia" w:ascii="宋体" w:hAnsi="宋体" w:eastAsia="宋体" w:cs="宋体"/>
          <w:color w:val="000000"/>
          <w:spacing w:val="-4"/>
          <w:sz w:val="24"/>
          <w:szCs w:val="24"/>
          <w:highlight w:val="none"/>
        </w:rPr>
      </w:pPr>
      <w:r>
        <w:rPr>
          <w:rFonts w:hint="eastAsia" w:ascii="宋体" w:hAnsi="宋体" w:eastAsia="宋体" w:cs="宋体"/>
          <w:color w:val="000000"/>
          <w:spacing w:val="-4"/>
          <w:sz w:val="24"/>
          <w:szCs w:val="24"/>
          <w:highlight w:val="none"/>
        </w:rPr>
        <w:t>一、信号接口与多源投屏要求</w:t>
      </w:r>
      <w:r>
        <w:rPr>
          <w:rFonts w:hint="eastAsia" w:ascii="宋体" w:hAnsi="宋体" w:eastAsia="宋体" w:cs="宋体"/>
          <w:color w:val="000000"/>
          <w:spacing w:val="-4"/>
          <w:sz w:val="24"/>
          <w:szCs w:val="24"/>
          <w:highlight w:val="none"/>
          <w:lang w:eastAsia="zh-CN"/>
        </w:rPr>
        <w:t>：</w:t>
      </w:r>
    </w:p>
    <w:p w14:paraId="0E513FC9">
      <w:pPr>
        <w:spacing w:line="360" w:lineRule="auto"/>
        <w:ind w:firstLine="464" w:firstLineChars="200"/>
        <w:rPr>
          <w:rFonts w:hint="eastAsia" w:ascii="宋体" w:hAnsi="宋体" w:eastAsia="宋体" w:cs="宋体"/>
          <w:color w:val="000000"/>
          <w:spacing w:val="-4"/>
          <w:sz w:val="24"/>
          <w:szCs w:val="24"/>
          <w:highlight w:val="none"/>
          <w:lang w:eastAsia="zh-CN"/>
        </w:rPr>
      </w:pPr>
      <w:r>
        <w:rPr>
          <w:rFonts w:hint="eastAsia" w:ascii="宋体" w:hAnsi="宋体" w:eastAsia="宋体" w:cs="宋体"/>
          <w:color w:val="000000"/>
          <w:spacing w:val="-4"/>
          <w:sz w:val="24"/>
          <w:szCs w:val="24"/>
          <w:highlight w:val="none"/>
        </w:rPr>
        <w:t>1</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rPr>
        <w:t>接口兼容性：支持HDMI、DP、SDI、DVI等多种标准视频信号输入，适配DCS系统现有输出接口</w:t>
      </w:r>
      <w:r>
        <w:rPr>
          <w:rFonts w:hint="eastAsia" w:ascii="宋体" w:hAnsi="宋体" w:eastAsia="宋体" w:cs="宋体"/>
          <w:color w:val="000000"/>
          <w:spacing w:val="-4"/>
          <w:sz w:val="24"/>
          <w:szCs w:val="24"/>
          <w:highlight w:val="none"/>
          <w:lang w:eastAsia="zh-CN"/>
        </w:rPr>
        <w:t>；</w:t>
      </w:r>
    </w:p>
    <w:p w14:paraId="2C3C020B">
      <w:pPr>
        <w:spacing w:line="360" w:lineRule="auto"/>
        <w:ind w:firstLine="464" w:firstLineChars="200"/>
        <w:rPr>
          <w:rFonts w:hint="eastAsia" w:ascii="宋体" w:hAnsi="宋体" w:eastAsia="宋体" w:cs="宋体"/>
          <w:color w:val="000000"/>
          <w:spacing w:val="-4"/>
          <w:sz w:val="24"/>
          <w:szCs w:val="24"/>
          <w:highlight w:val="none"/>
          <w:lang w:eastAsia="zh-CN"/>
        </w:rPr>
      </w:pPr>
      <w:r>
        <w:rPr>
          <w:rFonts w:hint="eastAsia" w:ascii="宋体" w:hAnsi="宋体" w:eastAsia="宋体" w:cs="宋体"/>
          <w:color w:val="000000"/>
          <w:spacing w:val="-4"/>
          <w:sz w:val="24"/>
          <w:szCs w:val="24"/>
          <w:highlight w:val="none"/>
        </w:rPr>
        <w:t>2</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rPr>
        <w:t>多源投屏功能要求：支持DCS系统输出的视频信号在LED屏的任意位置自定义投屏显示，不受物理拼接单元限制</w:t>
      </w:r>
      <w:r>
        <w:rPr>
          <w:rFonts w:hint="eastAsia" w:ascii="宋体" w:hAnsi="宋体" w:eastAsia="宋体" w:cs="宋体"/>
          <w:color w:val="000000"/>
          <w:spacing w:val="-4"/>
          <w:sz w:val="24"/>
          <w:szCs w:val="24"/>
          <w:highlight w:val="none"/>
          <w:lang w:eastAsia="zh-CN"/>
        </w:rPr>
        <w:t>；</w:t>
      </w:r>
    </w:p>
    <w:p w14:paraId="06D9A0A8">
      <w:pPr>
        <w:spacing w:line="360" w:lineRule="auto"/>
        <w:ind w:firstLine="464" w:firstLineChars="200"/>
        <w:rPr>
          <w:rFonts w:hint="eastAsia" w:ascii="宋体" w:hAnsi="宋体" w:eastAsia="宋体" w:cs="宋体"/>
          <w:color w:val="000000"/>
          <w:spacing w:val="-4"/>
          <w:sz w:val="24"/>
          <w:szCs w:val="24"/>
          <w:highlight w:val="none"/>
          <w:lang w:eastAsia="zh-CN"/>
        </w:rPr>
      </w:pPr>
      <w:r>
        <w:rPr>
          <w:rFonts w:hint="eastAsia" w:ascii="宋体" w:hAnsi="宋体" w:eastAsia="宋体" w:cs="宋体"/>
          <w:color w:val="000000"/>
          <w:spacing w:val="-4"/>
          <w:sz w:val="24"/>
          <w:szCs w:val="24"/>
          <w:highlight w:val="none"/>
        </w:rPr>
        <w:t>二、画面适配与重绘要求</w:t>
      </w:r>
      <w:r>
        <w:rPr>
          <w:rFonts w:hint="eastAsia" w:ascii="宋体" w:hAnsi="宋体" w:eastAsia="宋体" w:cs="宋体"/>
          <w:color w:val="000000"/>
          <w:spacing w:val="-4"/>
          <w:sz w:val="24"/>
          <w:szCs w:val="24"/>
          <w:highlight w:val="none"/>
          <w:lang w:eastAsia="zh-CN"/>
        </w:rPr>
        <w:t>：</w:t>
      </w:r>
    </w:p>
    <w:p w14:paraId="2B208787">
      <w:pPr>
        <w:spacing w:line="360" w:lineRule="auto"/>
        <w:ind w:firstLine="464" w:firstLineChars="200"/>
        <w:rPr>
          <w:rFonts w:hint="eastAsia" w:ascii="宋体" w:hAnsi="宋体" w:eastAsia="宋体" w:cs="宋体"/>
          <w:color w:val="000000"/>
          <w:spacing w:val="-4"/>
          <w:sz w:val="24"/>
          <w:szCs w:val="24"/>
          <w:highlight w:val="none"/>
          <w:lang w:eastAsia="zh-CN"/>
        </w:rPr>
      </w:pPr>
      <w:r>
        <w:rPr>
          <w:rFonts w:hint="eastAsia" w:ascii="宋体" w:hAnsi="宋体" w:eastAsia="宋体" w:cs="宋体"/>
          <w:color w:val="000000"/>
          <w:spacing w:val="-4"/>
          <w:sz w:val="24"/>
          <w:szCs w:val="24"/>
          <w:highlight w:val="none"/>
        </w:rPr>
        <w:t>1</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rPr>
        <w:t>分辨率与比例适配：在保留DCS原始画面内容和比例的前提下，重绘适配LED自定义显示窗口的尺寸、分辨率，无拉伸变形、内容裁剪问题</w:t>
      </w:r>
      <w:r>
        <w:rPr>
          <w:rFonts w:hint="eastAsia" w:ascii="宋体" w:hAnsi="宋体" w:eastAsia="宋体" w:cs="宋体"/>
          <w:color w:val="000000"/>
          <w:spacing w:val="-4"/>
          <w:sz w:val="24"/>
          <w:szCs w:val="24"/>
          <w:highlight w:val="none"/>
          <w:lang w:eastAsia="zh-CN"/>
        </w:rPr>
        <w:t>；</w:t>
      </w:r>
    </w:p>
    <w:p w14:paraId="251E4C2D">
      <w:pPr>
        <w:spacing w:line="360" w:lineRule="auto"/>
        <w:ind w:firstLine="464" w:firstLineChars="200"/>
        <w:rPr>
          <w:rFonts w:hint="eastAsia" w:ascii="宋体" w:hAnsi="宋体" w:cs="宋体"/>
          <w:color w:val="000000"/>
          <w:spacing w:val="-4"/>
          <w:sz w:val="24"/>
          <w:highlight w:val="none"/>
        </w:rPr>
      </w:pPr>
      <w:r>
        <w:rPr>
          <w:rFonts w:hint="eastAsia" w:ascii="宋体" w:hAnsi="宋体" w:eastAsia="宋体" w:cs="宋体"/>
          <w:color w:val="000000"/>
          <w:spacing w:val="-4"/>
          <w:sz w:val="24"/>
          <w:szCs w:val="24"/>
          <w:highlight w:val="none"/>
        </w:rPr>
        <w:t>2</w:t>
      </w:r>
      <w:r>
        <w:rPr>
          <w:rFonts w:hint="eastAsia" w:ascii="宋体" w:hAnsi="宋体" w:eastAsia="宋体" w:cs="宋体"/>
          <w:color w:val="000000"/>
          <w:spacing w:val="-4"/>
          <w:sz w:val="24"/>
          <w:szCs w:val="24"/>
          <w:highlight w:val="none"/>
          <w:lang w:eastAsia="zh-CN"/>
        </w:rPr>
        <w:t>.</w:t>
      </w:r>
      <w:r>
        <w:rPr>
          <w:rFonts w:hint="eastAsia" w:ascii="宋体" w:hAnsi="宋体" w:eastAsia="宋体" w:cs="宋体"/>
          <w:color w:val="000000"/>
          <w:spacing w:val="-4"/>
          <w:sz w:val="24"/>
          <w:szCs w:val="24"/>
          <w:highlight w:val="none"/>
        </w:rPr>
        <w:t>画质清晰度要求：保证DCS画面文字、线条、图形清晰无模糊锯齿，显示效果符合监盘使用要求</w:t>
      </w:r>
      <w:r>
        <w:rPr>
          <w:rFonts w:hint="eastAsia" w:ascii="宋体" w:hAnsi="宋体" w:eastAsia="宋体" w:cs="宋体"/>
          <w:color w:val="000000"/>
          <w:spacing w:val="-4"/>
          <w:sz w:val="24"/>
          <w:szCs w:val="24"/>
          <w:highlight w:val="none"/>
          <w:lang w:eastAsia="zh-CN"/>
        </w:rPr>
        <w:t>；</w:t>
      </w:r>
    </w:p>
    <w:p w14:paraId="630C870F">
      <w:pPr>
        <w:pStyle w:val="41"/>
        <w:spacing w:line="360" w:lineRule="auto"/>
        <w:ind w:firstLine="480" w:firstLineChars="200"/>
        <w:rPr>
          <w:kern w:val="2"/>
          <w:szCs w:val="24"/>
          <w:highlight w:val="none"/>
        </w:rPr>
      </w:pPr>
      <w:r>
        <w:rPr>
          <w:highlight w:val="none"/>
        </w:rPr>
        <w:t>LED</w:t>
      </w:r>
      <w:r>
        <w:rPr>
          <w:rFonts w:hint="eastAsia"/>
          <w:highlight w:val="none"/>
        </w:rPr>
        <w:t>制造商应具有较强的实验室检测能力，具备电磁兼容抗扰度</w:t>
      </w:r>
      <w:r>
        <w:rPr>
          <w:highlight w:val="none"/>
        </w:rPr>
        <w:t>GB/T 17626</w:t>
      </w:r>
      <w:r>
        <w:rPr>
          <w:rFonts w:hint="eastAsia"/>
          <w:highlight w:val="none"/>
        </w:rPr>
        <w:t>系列标准和</w:t>
      </w:r>
      <w:r>
        <w:rPr>
          <w:rFonts w:hint="eastAsia"/>
          <w:highlight w:val="none"/>
          <w:lang w:val="en-US" w:eastAsia="zh-CN"/>
        </w:rPr>
        <w:t>温度/湿度/低气压</w:t>
      </w:r>
      <w:r>
        <w:rPr>
          <w:highlight w:val="none"/>
        </w:rPr>
        <w:t>GB/T 2423.</w:t>
      </w:r>
      <w:r>
        <w:rPr>
          <w:rFonts w:hint="eastAsia"/>
          <w:highlight w:val="none"/>
          <w:lang w:val="en-US" w:eastAsia="zh-CN"/>
        </w:rPr>
        <w:t>2</w:t>
      </w:r>
      <w:r>
        <w:rPr>
          <w:highlight w:val="none"/>
        </w:rPr>
        <w:t>7</w:t>
      </w:r>
      <w:r>
        <w:rPr>
          <w:rFonts w:hint="eastAsia"/>
          <w:highlight w:val="none"/>
        </w:rPr>
        <w:t>标准的测试能力。（提供国家认可的中心实验室认证证书复印件及体现检测范围内容项）。</w:t>
      </w:r>
    </w:p>
    <w:p w14:paraId="2D89C924">
      <w:pPr>
        <w:pStyle w:val="41"/>
        <w:spacing w:line="360" w:lineRule="auto"/>
        <w:ind w:firstLine="480" w:firstLineChars="200"/>
        <w:rPr>
          <w:kern w:val="2"/>
          <w:szCs w:val="24"/>
          <w:highlight w:val="none"/>
        </w:rPr>
      </w:pPr>
      <w:r>
        <w:rPr>
          <w:rFonts w:hint="eastAsia"/>
          <w:highlight w:val="none"/>
        </w:rPr>
        <w:t>投标产品需提供中国环保产品（</w:t>
      </w:r>
      <w:r>
        <w:rPr>
          <w:highlight w:val="none"/>
        </w:rPr>
        <w:t>II</w:t>
      </w:r>
      <w:r>
        <w:rPr>
          <w:rFonts w:hint="eastAsia"/>
          <w:highlight w:val="none"/>
        </w:rPr>
        <w:t>型）认证证书、中国环境标志产品认证证书、</w:t>
      </w:r>
      <w:r>
        <w:rPr>
          <w:highlight w:val="none"/>
        </w:rPr>
        <w:t>CCC</w:t>
      </w:r>
      <w:r>
        <w:rPr>
          <w:rFonts w:hint="eastAsia"/>
          <w:highlight w:val="none"/>
        </w:rPr>
        <w:t>认证证书</w:t>
      </w:r>
      <w:r>
        <w:rPr>
          <w:rFonts w:hint="eastAsia"/>
          <w:highlight w:val="none"/>
          <w:lang w:eastAsia="zh-CN"/>
        </w:rPr>
        <w:t>，</w:t>
      </w:r>
      <w:r>
        <w:rPr>
          <w:rFonts w:hint="eastAsia" w:ascii="宋体" w:hAnsi="宋体" w:eastAsia="宋体" w:cs="宋体"/>
          <w:b w:val="0"/>
          <w:bCs w:val="0"/>
          <w:color w:val="000000"/>
          <w:spacing w:val="-4"/>
          <w:kern w:val="2"/>
          <w:sz w:val="24"/>
          <w:szCs w:val="24"/>
          <w:highlight w:val="none"/>
        </w:rPr>
        <w:t>产品符合GB/T5169.11-2006阻燃测试要求</w:t>
      </w:r>
      <w:r>
        <w:rPr>
          <w:rFonts w:hint="eastAsia"/>
          <w:highlight w:val="none"/>
        </w:rPr>
        <w:t>。</w:t>
      </w:r>
    </w:p>
    <w:p w14:paraId="2A05D129">
      <w:pPr>
        <w:pStyle w:val="41"/>
        <w:widowControl/>
        <w:autoSpaceDE w:val="0"/>
        <w:autoSpaceDN w:val="0"/>
        <w:adjustRightInd/>
        <w:snapToGrid w:val="0"/>
        <w:spacing w:line="360" w:lineRule="auto"/>
        <w:jc w:val="both"/>
        <w:textAlignment w:val="bottom"/>
        <w:rPr>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4.5.2</w:t>
      </w:r>
      <w:r>
        <w:rPr>
          <w:rFonts w:hint="eastAsia"/>
          <w:b/>
          <w:bCs/>
          <w:color w:val="000000" w:themeColor="text1"/>
          <w:kern w:val="2"/>
          <w:szCs w:val="24"/>
          <w:highlight w:val="none"/>
          <w:lang w:val="en-US" w:eastAsia="zh-CN"/>
          <w14:textFill>
            <w14:solidFill>
              <w14:schemeClr w14:val="tx1"/>
            </w14:solidFill>
          </w14:textFill>
        </w:rPr>
        <w:t xml:space="preserve"> </w:t>
      </w:r>
      <w:r>
        <w:rPr>
          <w:rFonts w:hint="eastAsia"/>
          <w:b/>
          <w:bCs/>
          <w:kern w:val="2"/>
          <w:szCs w:val="24"/>
          <w:highlight w:val="none"/>
        </w:rPr>
        <w:t>显示屏控制卡</w:t>
      </w:r>
    </w:p>
    <w:p w14:paraId="1AF6DD5B">
      <w:pPr>
        <w:pStyle w:val="41"/>
        <w:spacing w:line="360" w:lineRule="auto"/>
        <w:ind w:firstLine="464" w:firstLineChars="200"/>
        <w:rPr>
          <w:strike/>
          <w:color w:val="000000" w:themeColor="text1"/>
          <w:kern w:val="2"/>
          <w:szCs w:val="24"/>
          <w:highlight w:val="none"/>
          <w14:textFill>
            <w14:solidFill>
              <w14:schemeClr w14:val="tx1"/>
            </w14:solidFill>
          </w14:textFill>
        </w:rPr>
      </w:pPr>
      <w:r>
        <w:rPr>
          <w:rFonts w:hint="eastAsia" w:ascii="宋体" w:hAnsi="宋体" w:eastAsia="宋体" w:cs="宋体"/>
          <w:b w:val="0"/>
          <w:bCs w:val="0"/>
          <w:spacing w:val="-4"/>
          <w:kern w:val="2"/>
          <w:sz w:val="24"/>
          <w:szCs w:val="24"/>
          <w:highlight w:val="none"/>
        </w:rPr>
        <w:t>大屏幕控制器应与LED显示屏同一品牌</w:t>
      </w:r>
      <w:r>
        <w:rPr>
          <w:rFonts w:hint="eastAsia" w:ascii="宋体" w:hAnsi="宋体" w:cs="宋体"/>
          <w:b w:val="0"/>
          <w:bCs w:val="0"/>
          <w:spacing w:val="-4"/>
          <w:kern w:val="2"/>
          <w:sz w:val="24"/>
          <w:szCs w:val="24"/>
          <w:highlight w:val="none"/>
          <w:lang w:eastAsia="zh-CN"/>
        </w:rPr>
        <w:t>。</w:t>
      </w:r>
      <w:r>
        <w:rPr>
          <w:rFonts w:hint="eastAsia" w:ascii="宋体" w:hAnsi="宋体" w:eastAsia="宋体" w:cs="宋体"/>
          <w:b w:val="0"/>
          <w:bCs w:val="0"/>
          <w:color w:val="000000"/>
          <w:spacing w:val="-4"/>
          <w:kern w:val="2"/>
          <w:sz w:val="24"/>
          <w:szCs w:val="24"/>
          <w:highlight w:val="none"/>
        </w:rPr>
        <w:t>控制器采用模块化设计，底图模块和图像处理模块互相独立处理，信号可实时同步处理。</w:t>
      </w:r>
      <w:r>
        <w:rPr>
          <w:rFonts w:hint="eastAsia"/>
          <w:strike w:val="0"/>
          <w:color w:val="000000" w:themeColor="text1"/>
          <w:kern w:val="2"/>
          <w:szCs w:val="24"/>
          <w:highlight w:val="none"/>
          <w14:textFill>
            <w14:solidFill>
              <w14:schemeClr w14:val="tx1"/>
            </w14:solidFill>
          </w14:textFill>
        </w:rPr>
        <w:t>产品采用金属机身，塑料前框，整机宽度不宽于</w:t>
      </w:r>
      <w:r>
        <w:rPr>
          <w:strike w:val="0"/>
          <w:color w:val="000000" w:themeColor="text1"/>
          <w:kern w:val="2"/>
          <w:szCs w:val="24"/>
          <w:highlight w:val="none"/>
          <w14:textFill>
            <w14:solidFill>
              <w14:schemeClr w14:val="tx1"/>
            </w14:solidFill>
          </w14:textFill>
        </w:rPr>
        <w:t>210mm</w:t>
      </w:r>
      <w:r>
        <w:rPr>
          <w:rFonts w:hint="eastAsia"/>
          <w:strike w:val="0"/>
          <w:color w:val="000000" w:themeColor="text1"/>
          <w:kern w:val="2"/>
          <w:szCs w:val="24"/>
          <w:highlight w:val="none"/>
          <w14:textFill>
            <w14:solidFill>
              <w14:schemeClr w14:val="tx1"/>
            </w14:solidFill>
          </w14:textFill>
        </w:rPr>
        <w:t>，整机高度不高于</w:t>
      </w:r>
      <w:r>
        <w:rPr>
          <w:strike w:val="0"/>
          <w:color w:val="000000" w:themeColor="text1"/>
          <w:kern w:val="2"/>
          <w:szCs w:val="24"/>
          <w:highlight w:val="none"/>
          <w14:textFill>
            <w14:solidFill>
              <w14:schemeClr w14:val="tx1"/>
            </w14:solidFill>
          </w14:textFill>
        </w:rPr>
        <w:t>42mm</w:t>
      </w:r>
      <w:r>
        <w:rPr>
          <w:rFonts w:hint="eastAsia"/>
          <w:strike w:val="0"/>
          <w:color w:val="000000" w:themeColor="text1"/>
          <w:kern w:val="2"/>
          <w:szCs w:val="24"/>
          <w:highlight w:val="none"/>
          <w14:textFill>
            <w14:solidFill>
              <w14:schemeClr w14:val="tx1"/>
            </w14:solidFill>
          </w14:textFill>
        </w:rPr>
        <w:t>，整机深度不深于</w:t>
      </w:r>
      <w:r>
        <w:rPr>
          <w:strike w:val="0"/>
          <w:color w:val="000000" w:themeColor="text1"/>
          <w:kern w:val="2"/>
          <w:szCs w:val="24"/>
          <w:highlight w:val="none"/>
          <w14:textFill>
            <w14:solidFill>
              <w14:schemeClr w14:val="tx1"/>
            </w14:solidFill>
          </w14:textFill>
        </w:rPr>
        <w:t>180mm</w:t>
      </w:r>
      <w:r>
        <w:rPr>
          <w:rFonts w:hint="eastAsia"/>
          <w:strike w:val="0"/>
          <w:color w:val="000000" w:themeColor="text1"/>
          <w:kern w:val="2"/>
          <w:szCs w:val="24"/>
          <w:highlight w:val="none"/>
          <w:lang w:eastAsia="zh-CN"/>
          <w14:textFill>
            <w14:solidFill>
              <w14:schemeClr w14:val="tx1"/>
            </w14:solidFill>
          </w14:textFill>
        </w:rPr>
        <w:t>，</w:t>
      </w:r>
      <w:r>
        <w:rPr>
          <w:rFonts w:hint="eastAsia"/>
          <w:strike w:val="0"/>
          <w:color w:val="000000" w:themeColor="text1"/>
          <w:kern w:val="2"/>
          <w:szCs w:val="24"/>
          <w:highlight w:val="none"/>
          <w14:textFill>
            <w14:solidFill>
              <w14:schemeClr w14:val="tx1"/>
            </w14:solidFill>
          </w14:textFill>
        </w:rPr>
        <w:t>两台设备横向平行安装可安装于</w:t>
      </w:r>
      <w:r>
        <w:rPr>
          <w:strike w:val="0"/>
          <w:color w:val="000000" w:themeColor="text1"/>
          <w:kern w:val="2"/>
          <w:szCs w:val="24"/>
          <w:highlight w:val="none"/>
          <w14:textFill>
            <w14:solidFill>
              <w14:schemeClr w14:val="tx1"/>
            </w14:solidFill>
          </w14:textFill>
        </w:rPr>
        <w:t>1U</w:t>
      </w:r>
      <w:r>
        <w:rPr>
          <w:rFonts w:hint="eastAsia"/>
          <w:strike w:val="0"/>
          <w:color w:val="000000" w:themeColor="text1"/>
          <w:kern w:val="2"/>
          <w:szCs w:val="24"/>
          <w:highlight w:val="none"/>
          <w14:textFill>
            <w14:solidFill>
              <w14:schemeClr w14:val="tx1"/>
            </w14:solidFill>
          </w14:textFill>
        </w:rPr>
        <w:t>标准机柜中。</w:t>
      </w:r>
    </w:p>
    <w:p w14:paraId="21163C6E">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输入：</w:t>
      </w:r>
      <w:r>
        <w:rPr>
          <w:color w:val="000000" w:themeColor="text1"/>
          <w:kern w:val="2"/>
          <w:szCs w:val="24"/>
          <w:highlight w:val="none"/>
          <w14:textFill>
            <w14:solidFill>
              <w14:schemeClr w14:val="tx1"/>
            </w14:solidFill>
          </w14:textFill>
        </w:rPr>
        <w:t>HDMI</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USB</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DEBUG</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、控制网口×</w:t>
      </w:r>
      <w:r>
        <w:rPr>
          <w:color w:val="000000" w:themeColor="text1"/>
          <w:kern w:val="2"/>
          <w:szCs w:val="24"/>
          <w:highlight w:val="none"/>
          <w14:textFill>
            <w14:solidFill>
              <w14:schemeClr w14:val="tx1"/>
            </w14:solidFill>
          </w14:textFill>
        </w:rPr>
        <w:t>2</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RS485</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IR IN</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；输出：</w:t>
      </w:r>
      <w:r>
        <w:rPr>
          <w:color w:val="000000" w:themeColor="text1"/>
          <w:kern w:val="2"/>
          <w:szCs w:val="24"/>
          <w:highlight w:val="none"/>
          <w14:textFill>
            <w14:solidFill>
              <w14:schemeClr w14:val="tx1"/>
            </w14:solidFill>
          </w14:textFill>
        </w:rPr>
        <w:t>Audio OUT</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带载网口×</w:t>
      </w:r>
      <w:r>
        <w:rPr>
          <w:color w:val="000000" w:themeColor="text1"/>
          <w:kern w:val="2"/>
          <w:szCs w:val="24"/>
          <w:highlight w:val="none"/>
          <w14:textFill>
            <w14:solidFill>
              <w14:schemeClr w14:val="tx1"/>
            </w14:solidFill>
          </w14:textFill>
        </w:rPr>
        <w:t>6</w:t>
      </w:r>
      <w:r>
        <w:rPr>
          <w:rFonts w:hint="eastAsia"/>
          <w:color w:val="000000" w:themeColor="text1"/>
          <w:kern w:val="2"/>
          <w:szCs w:val="24"/>
          <w:highlight w:val="none"/>
          <w14:textFill>
            <w14:solidFill>
              <w14:schemeClr w14:val="tx1"/>
            </w14:solidFill>
          </w14:textFill>
        </w:rPr>
        <w:t>；按键：开关×</w:t>
      </w:r>
      <w:r>
        <w:rPr>
          <w:color w:val="000000" w:themeColor="text1"/>
          <w:kern w:val="2"/>
          <w:szCs w:val="24"/>
          <w:highlight w:val="none"/>
          <w14:textFill>
            <w14:solidFill>
              <w14:schemeClr w14:val="tx1"/>
            </w14:solidFill>
          </w14:textFill>
        </w:rPr>
        <w:t>1</w:t>
      </w:r>
      <w:r>
        <w:rPr>
          <w:rFonts w:hint="eastAsia"/>
          <w:color w:val="000000" w:themeColor="text1"/>
          <w:kern w:val="2"/>
          <w:szCs w:val="24"/>
          <w:highlight w:val="none"/>
          <w14:textFill>
            <w14:solidFill>
              <w14:schemeClr w14:val="tx1"/>
            </w14:solidFill>
          </w14:textFill>
        </w:rPr>
        <w:t>、功能按键×</w:t>
      </w:r>
      <w:r>
        <w:rPr>
          <w:color w:val="000000" w:themeColor="text1"/>
          <w:kern w:val="2"/>
          <w:szCs w:val="24"/>
          <w:highlight w:val="none"/>
          <w14:textFill>
            <w14:solidFill>
              <w14:schemeClr w14:val="tx1"/>
            </w14:solidFill>
          </w14:textFill>
        </w:rPr>
        <w:t>3</w:t>
      </w:r>
    </w:p>
    <w:p w14:paraId="3D02B9BB">
      <w:pPr>
        <w:pStyle w:val="41"/>
        <w:spacing w:line="360" w:lineRule="auto"/>
        <w:ind w:firstLine="482" w:firstLineChars="200"/>
        <w:rPr>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控制网口×</w:t>
      </w:r>
      <w:r>
        <w:rPr>
          <w:b/>
          <w:color w:val="000000" w:themeColor="text1"/>
          <w:kern w:val="2"/>
          <w:szCs w:val="24"/>
          <w:highlight w:val="none"/>
          <w14:textFill>
            <w14:solidFill>
              <w14:schemeClr w14:val="tx1"/>
            </w14:solidFill>
          </w14:textFill>
        </w:rPr>
        <w:t>2</w:t>
      </w:r>
      <w:r>
        <w:rPr>
          <w:rFonts w:hint="eastAsia"/>
          <w:b/>
          <w:color w:val="000000" w:themeColor="text1"/>
          <w:kern w:val="2"/>
          <w:szCs w:val="24"/>
          <w:highlight w:val="none"/>
          <w14:textFill>
            <w14:solidFill>
              <w14:schemeClr w14:val="tx1"/>
            </w14:solidFill>
          </w14:textFill>
        </w:rPr>
        <w:t>，支持</w:t>
      </w:r>
      <w:r>
        <w:rPr>
          <w:b/>
          <w:color w:val="000000" w:themeColor="text1"/>
          <w:kern w:val="2"/>
          <w:szCs w:val="24"/>
          <w:highlight w:val="none"/>
          <w14:textFill>
            <w14:solidFill>
              <w14:schemeClr w14:val="tx1"/>
            </w14:solidFill>
          </w14:textFill>
        </w:rPr>
        <w:t>TCP/IP</w:t>
      </w:r>
      <w:r>
        <w:rPr>
          <w:rFonts w:hint="eastAsia"/>
          <w:b/>
          <w:color w:val="000000" w:themeColor="text1"/>
          <w:kern w:val="2"/>
          <w:szCs w:val="24"/>
          <w:highlight w:val="none"/>
          <w14:textFill>
            <w14:solidFill>
              <w14:schemeClr w14:val="tx1"/>
            </w14:solidFill>
          </w14:textFill>
        </w:rPr>
        <w:t>网络协议，双网口均可用于控制设备或设备网络级联，其中一个接口用于控制设备时，另外一个网口就用于设备网络级联。</w:t>
      </w:r>
    </w:p>
    <w:p w14:paraId="487353E9">
      <w:pPr>
        <w:pStyle w:val="41"/>
        <w:spacing w:line="360" w:lineRule="auto"/>
        <w:ind w:firstLine="480" w:firstLineChars="200"/>
        <w:rPr>
          <w:rFonts w:hint="eastAsia"/>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单网口带载最大</w:t>
      </w:r>
      <w:r>
        <w:rPr>
          <w:color w:val="000000" w:themeColor="text1"/>
          <w:kern w:val="2"/>
          <w:szCs w:val="24"/>
          <w:highlight w:val="none"/>
          <w14:textFill>
            <w14:solidFill>
              <w14:schemeClr w14:val="tx1"/>
            </w14:solidFill>
          </w14:textFill>
        </w:rPr>
        <w:t>66W</w:t>
      </w:r>
      <w:r>
        <w:rPr>
          <w:rFonts w:hint="eastAsia"/>
          <w:color w:val="000000" w:themeColor="text1"/>
          <w:kern w:val="2"/>
          <w:szCs w:val="24"/>
          <w:highlight w:val="none"/>
          <w14:textFill>
            <w14:solidFill>
              <w14:schemeClr w14:val="tx1"/>
            </w14:solidFill>
          </w14:textFill>
        </w:rPr>
        <w:t>像素，设备总带载最大</w:t>
      </w:r>
      <w:r>
        <w:rPr>
          <w:color w:val="000000" w:themeColor="text1"/>
          <w:kern w:val="2"/>
          <w:szCs w:val="24"/>
          <w:highlight w:val="none"/>
          <w14:textFill>
            <w14:solidFill>
              <w14:schemeClr w14:val="tx1"/>
            </w14:solidFill>
          </w14:textFill>
        </w:rPr>
        <w:t>390W</w:t>
      </w:r>
      <w:r>
        <w:rPr>
          <w:rFonts w:hint="eastAsia"/>
          <w:color w:val="000000" w:themeColor="text1"/>
          <w:kern w:val="2"/>
          <w:szCs w:val="24"/>
          <w:highlight w:val="none"/>
          <w14:textFill>
            <w14:solidFill>
              <w14:schemeClr w14:val="tx1"/>
            </w14:solidFill>
          </w14:textFill>
        </w:rPr>
        <w:t>像素。</w:t>
      </w:r>
    </w:p>
    <w:p w14:paraId="72801BF6">
      <w:pPr>
        <w:spacing w:line="360" w:lineRule="auto"/>
        <w:ind w:firstLine="480" w:firstLineChars="200"/>
        <w:rPr>
          <w:sz w:val="24"/>
          <w:highlight w:val="none"/>
        </w:rPr>
      </w:pPr>
      <w:r>
        <w:rPr>
          <w:rFonts w:hint="eastAsia"/>
          <w:sz w:val="24"/>
          <w:highlight w:val="none"/>
        </w:rPr>
        <w:t>控制处理器平均无故障时间MTBF大于180,000 小时，平均修复时间MTTR小于15分钟，设备整体可用度＞99.99%。</w:t>
      </w:r>
    </w:p>
    <w:p w14:paraId="68352624">
      <w:pPr>
        <w:pStyle w:val="41"/>
        <w:spacing w:line="360" w:lineRule="auto"/>
        <w:ind w:firstLine="482" w:firstLineChars="200"/>
        <w:rPr>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支持通过设备自带</w:t>
      </w:r>
      <w:r>
        <w:rPr>
          <w:b/>
          <w:color w:val="000000" w:themeColor="text1"/>
          <w:kern w:val="2"/>
          <w:szCs w:val="24"/>
          <w:highlight w:val="none"/>
          <w14:textFill>
            <w14:solidFill>
              <w14:schemeClr w14:val="tx1"/>
            </w14:solidFill>
          </w14:textFill>
        </w:rPr>
        <w:t>Web</w:t>
      </w:r>
      <w:r>
        <w:rPr>
          <w:rFonts w:hint="eastAsia"/>
          <w:b/>
          <w:color w:val="000000" w:themeColor="text1"/>
          <w:kern w:val="2"/>
          <w:szCs w:val="24"/>
          <w:highlight w:val="none"/>
          <w14:textFill>
            <w14:solidFill>
              <w14:schemeClr w14:val="tx1"/>
            </w14:solidFill>
          </w14:textFill>
        </w:rPr>
        <w:t>浏览器、客户端、遥控器操作，对图像的图像的亮度、色温以及图像模式进行调节设置。</w:t>
      </w:r>
    </w:p>
    <w:p w14:paraId="5FEEC56E">
      <w:pPr>
        <w:pStyle w:val="41"/>
        <w:spacing w:line="360" w:lineRule="auto"/>
        <w:ind w:firstLine="482" w:firstLineChars="200"/>
        <w:rPr>
          <w:b/>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支持红绿蓝三色多级调节。支持通过客户端、遥控器进行调节。</w:t>
      </w:r>
    </w:p>
    <w:p w14:paraId="22D9F802">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支持射频遥控器和红外两种遥控器。</w:t>
      </w:r>
    </w:p>
    <w:p w14:paraId="313F5D85">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支持任意走线、</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屏幕带载无矩形框架限制。</w:t>
      </w:r>
    </w:p>
    <w:p w14:paraId="01FE4847">
      <w:pPr>
        <w:pStyle w:val="41"/>
        <w:spacing w:line="360" w:lineRule="auto"/>
        <w:ind w:firstLine="482" w:firstLineChars="200"/>
        <w:rPr>
          <w:b/>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可将输入信号进行缩放，以匹配</w:t>
      </w:r>
      <w:r>
        <w:rPr>
          <w:b/>
          <w:color w:val="000000" w:themeColor="text1"/>
          <w:kern w:val="2"/>
          <w:szCs w:val="24"/>
          <w:highlight w:val="none"/>
          <w14:textFill>
            <w14:solidFill>
              <w14:schemeClr w14:val="tx1"/>
            </w14:solidFill>
          </w14:textFill>
        </w:rPr>
        <w:t xml:space="preserve"> LED</w:t>
      </w:r>
      <w:r>
        <w:rPr>
          <w:rFonts w:hint="eastAsia"/>
          <w:b/>
          <w:color w:val="000000" w:themeColor="text1"/>
          <w:kern w:val="2"/>
          <w:szCs w:val="24"/>
          <w:highlight w:val="none"/>
          <w14:textFill>
            <w14:solidFill>
              <w14:schemeClr w14:val="tx1"/>
            </w14:solidFill>
          </w14:textFill>
        </w:rPr>
        <w:t>的分辨率进行输出。</w:t>
      </w:r>
    </w:p>
    <w:p w14:paraId="26185E97">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可通过设备自带</w:t>
      </w:r>
      <w:r>
        <w:rPr>
          <w:color w:val="000000" w:themeColor="text1"/>
          <w:highlight w:val="none"/>
          <w14:textFill>
            <w14:solidFill>
              <w14:schemeClr w14:val="tx1"/>
            </w14:solidFill>
          </w14:textFill>
        </w:rPr>
        <w:t>Web</w:t>
      </w:r>
      <w:r>
        <w:rPr>
          <w:rFonts w:hint="eastAsia"/>
          <w:color w:val="000000" w:themeColor="text1"/>
          <w:highlight w:val="none"/>
          <w14:textFill>
            <w14:solidFill>
              <w14:schemeClr w14:val="tx1"/>
            </w14:solidFill>
          </w14:textFill>
        </w:rPr>
        <w:t>浏览器、客户端、遥控器同时控制多台发送卡设备参数的调节。</w:t>
      </w:r>
      <w:r>
        <w:rPr>
          <w:rFonts w:hint="eastAsia"/>
          <w:color w:val="000000" w:themeColor="text1"/>
          <w:kern w:val="2"/>
          <w:szCs w:val="24"/>
          <w:highlight w:val="none"/>
          <w14:textFill>
            <w14:solidFill>
              <w14:schemeClr w14:val="tx1"/>
            </w14:solidFill>
          </w14:textFill>
        </w:rPr>
        <w:t>支持网络在线设备搜索、日志查询和用户手册查询功能。</w:t>
      </w:r>
    </w:p>
    <w:p w14:paraId="18555A10">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支持通过</w:t>
      </w:r>
      <w:r>
        <w:rPr>
          <w:color w:val="000000" w:themeColor="text1"/>
          <w:kern w:val="2"/>
          <w:szCs w:val="24"/>
          <w:highlight w:val="none"/>
          <w14:textFill>
            <w14:solidFill>
              <w14:schemeClr w14:val="tx1"/>
            </w14:solidFill>
          </w14:textFill>
        </w:rPr>
        <w:t>Web</w:t>
      </w:r>
      <w:r>
        <w:rPr>
          <w:rFonts w:hint="eastAsia"/>
          <w:color w:val="000000" w:themeColor="text1"/>
          <w:kern w:val="2"/>
          <w:szCs w:val="24"/>
          <w:highlight w:val="none"/>
          <w14:textFill>
            <w14:solidFill>
              <w14:schemeClr w14:val="tx1"/>
            </w14:solidFill>
          </w14:textFill>
        </w:rPr>
        <w:t>区分屏幕走线正常</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掉线</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异常等状态。</w:t>
      </w:r>
    </w:p>
    <w:p w14:paraId="3695BF34">
      <w:pPr>
        <w:pStyle w:val="41"/>
        <w:spacing w:line="360" w:lineRule="auto"/>
        <w:ind w:firstLine="482" w:firstLineChars="200"/>
        <w:rPr>
          <w:b/>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支持通过</w:t>
      </w:r>
      <w:r>
        <w:rPr>
          <w:b/>
          <w:color w:val="000000" w:themeColor="text1"/>
          <w:kern w:val="2"/>
          <w:szCs w:val="24"/>
          <w:highlight w:val="none"/>
          <w14:textFill>
            <w14:solidFill>
              <w14:schemeClr w14:val="tx1"/>
            </w14:solidFill>
          </w14:textFill>
        </w:rPr>
        <w:t>RS485</w:t>
      </w:r>
      <w:r>
        <w:rPr>
          <w:rFonts w:hint="eastAsia"/>
          <w:b/>
          <w:color w:val="000000" w:themeColor="text1"/>
          <w:kern w:val="2"/>
          <w:szCs w:val="24"/>
          <w:highlight w:val="none"/>
          <w14:textFill>
            <w14:solidFill>
              <w14:schemeClr w14:val="tx1"/>
            </w14:solidFill>
          </w14:textFill>
        </w:rPr>
        <w:t>接口与中控设备进行对接。可自动监测电路中相电压、相电流、零线电流、剩余电流、环境温度、环境湿度，支持脱扣联动、故障联动、报警联动。</w:t>
      </w:r>
    </w:p>
    <w:p w14:paraId="590BD138">
      <w:pPr>
        <w:pStyle w:val="41"/>
        <w:spacing w:line="360" w:lineRule="auto"/>
        <w:ind w:firstLine="482" w:firstLineChars="200"/>
        <w:rPr>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支持通过</w:t>
      </w:r>
      <w:r>
        <w:rPr>
          <w:b/>
          <w:color w:val="000000" w:themeColor="text1"/>
          <w:kern w:val="2"/>
          <w:szCs w:val="24"/>
          <w:highlight w:val="none"/>
          <w14:textFill>
            <w14:solidFill>
              <w14:schemeClr w14:val="tx1"/>
            </w14:solidFill>
          </w14:textFill>
        </w:rPr>
        <w:t>Web</w:t>
      </w:r>
      <w:r>
        <w:rPr>
          <w:rFonts w:hint="eastAsia"/>
          <w:b/>
          <w:color w:val="000000" w:themeColor="text1"/>
          <w:kern w:val="2"/>
          <w:szCs w:val="24"/>
          <w:highlight w:val="none"/>
          <w14:textFill>
            <w14:solidFill>
              <w14:schemeClr w14:val="tx1"/>
            </w14:solidFill>
          </w14:textFill>
        </w:rPr>
        <w:t>浏览器登录主设备，查看主发送卡下所有级联从发送卡的屏幕位置、发送卡</w:t>
      </w:r>
      <w:r>
        <w:rPr>
          <w:b/>
          <w:color w:val="000000" w:themeColor="text1"/>
          <w:kern w:val="2"/>
          <w:szCs w:val="24"/>
          <w:highlight w:val="none"/>
          <w14:textFill>
            <w14:solidFill>
              <w14:schemeClr w14:val="tx1"/>
            </w14:solidFill>
          </w14:textFill>
        </w:rPr>
        <w:t xml:space="preserve">IP </w:t>
      </w:r>
      <w:r>
        <w:rPr>
          <w:rFonts w:hint="eastAsia"/>
          <w:b/>
          <w:color w:val="000000" w:themeColor="text1"/>
          <w:kern w:val="2"/>
          <w:szCs w:val="24"/>
          <w:highlight w:val="none"/>
          <w14:textFill>
            <w14:solidFill>
              <w14:schemeClr w14:val="tx1"/>
            </w14:solidFill>
          </w14:textFill>
        </w:rPr>
        <w:t>地址、序列号、带载屏幕分辨率、运行状态、软件版本、运行温度内存使用率等信息</w:t>
      </w:r>
      <w:r>
        <w:rPr>
          <w:rFonts w:hint="eastAsia"/>
          <w:color w:val="000000" w:themeColor="text1"/>
          <w:kern w:val="2"/>
          <w:szCs w:val="24"/>
          <w:highlight w:val="none"/>
          <w14:textFill>
            <w14:solidFill>
              <w14:schemeClr w14:val="tx1"/>
            </w14:solidFill>
          </w14:textFill>
        </w:rPr>
        <w:t>。</w:t>
      </w:r>
    </w:p>
    <w:p w14:paraId="723E97AC">
      <w:pPr>
        <w:pStyle w:val="41"/>
        <w:spacing w:line="360" w:lineRule="auto"/>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4.5.3</w:t>
      </w:r>
      <w:r>
        <w:rPr>
          <w:rFonts w:hint="eastAsia"/>
          <w:b/>
          <w:bCs/>
          <w:color w:val="000000" w:themeColor="text1"/>
          <w:kern w:val="2"/>
          <w:szCs w:val="24"/>
          <w:highlight w:val="none"/>
          <w14:textFill>
            <w14:solidFill>
              <w14:schemeClr w14:val="tx1"/>
            </w14:solidFill>
          </w14:textFill>
        </w:rPr>
        <w:t>大屏处理器</w:t>
      </w:r>
    </w:p>
    <w:p w14:paraId="5ADF663E">
      <w:pPr>
        <w:pStyle w:val="41"/>
        <w:spacing w:line="360" w:lineRule="auto"/>
        <w:ind w:firstLine="48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具备标准HDMI、DP接口，HDMI、DP接口具有热备份功能，同时具备采集4K、8K超高清视频能力。本次工程配置至少32路HDMI、DP输入，接口类型满足工程需求。</w:t>
      </w:r>
    </w:p>
    <w:p w14:paraId="70A2EAFA">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机箱为</w:t>
      </w:r>
      <w:r>
        <w:rPr>
          <w:color w:val="000000" w:themeColor="text1"/>
          <w:highlight w:val="none"/>
          <w14:textFill>
            <w14:solidFill>
              <w14:schemeClr w14:val="tx1"/>
            </w14:solidFill>
          </w14:textFill>
        </w:rPr>
        <w:t>4.5U</w:t>
      </w:r>
      <w:r>
        <w:rPr>
          <w:rFonts w:hint="eastAsia"/>
          <w:color w:val="000000" w:themeColor="text1"/>
          <w:highlight w:val="none"/>
          <w14:textFill>
            <w14:solidFill>
              <w14:schemeClr w14:val="tx1"/>
            </w14:solidFill>
          </w14:textFill>
        </w:rPr>
        <w:t>标准机架式机箱，具有</w:t>
      </w:r>
      <w:r>
        <w:rPr>
          <w:color w:val="000000" w:themeColor="text1"/>
          <w:highlight w:val="none"/>
          <w14:textFill>
            <w14:solidFill>
              <w14:schemeClr w14:val="tx1"/>
            </w14:solidFill>
          </w14:textFill>
        </w:rPr>
        <w:t>10</w:t>
      </w:r>
      <w:r>
        <w:rPr>
          <w:rFonts w:hint="eastAsia"/>
          <w:color w:val="000000" w:themeColor="text1"/>
          <w:highlight w:val="none"/>
          <w14:textFill>
            <w14:solidFill>
              <w14:schemeClr w14:val="tx1"/>
            </w14:solidFill>
          </w14:textFill>
        </w:rPr>
        <w:t>槽位，输入最高支持</w:t>
      </w:r>
      <w:r>
        <w:rPr>
          <w:color w:val="000000" w:themeColor="text1"/>
          <w:highlight w:val="none"/>
          <w14:textFill>
            <w14:solidFill>
              <w14:schemeClr w14:val="tx1"/>
            </w14:solidFill>
          </w14:textFill>
        </w:rPr>
        <w:t>40</w:t>
      </w:r>
      <w:r>
        <w:rPr>
          <w:rFonts w:hint="eastAsia"/>
          <w:color w:val="000000" w:themeColor="text1"/>
          <w:highlight w:val="none"/>
          <w14:textFill>
            <w14:solidFill>
              <w14:schemeClr w14:val="tx1"/>
            </w14:solidFill>
          </w14:textFill>
        </w:rPr>
        <w:t>路，输出最高支持</w:t>
      </w:r>
      <w:r>
        <w:rPr>
          <w:color w:val="000000" w:themeColor="text1"/>
          <w:highlight w:val="none"/>
          <w14:textFill>
            <w14:solidFill>
              <w14:schemeClr w14:val="tx1"/>
            </w14:solidFill>
          </w14:textFill>
        </w:rPr>
        <w:t>60</w:t>
      </w:r>
      <w:r>
        <w:rPr>
          <w:rFonts w:hint="eastAsia"/>
          <w:color w:val="000000" w:themeColor="text1"/>
          <w:highlight w:val="none"/>
          <w14:textFill>
            <w14:solidFill>
              <w14:schemeClr w14:val="tx1"/>
            </w14:solidFill>
          </w14:textFill>
        </w:rPr>
        <w:t>路；同时支持双电源、双主控。</w:t>
      </w:r>
    </w:p>
    <w:p w14:paraId="45B4A8DC">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采用嵌入式纯硬件架构</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无需其他操作系统</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且</w:t>
      </w:r>
      <w:r>
        <w:rPr>
          <w:rFonts w:hint="eastAsia" w:ascii="宋体" w:hAnsi="宋体" w:eastAsia="宋体" w:cs="宋体"/>
          <w:b w:val="0"/>
          <w:bCs w:val="0"/>
          <w:color w:val="000000"/>
          <w:spacing w:val="-4"/>
          <w:kern w:val="2"/>
          <w:sz w:val="24"/>
          <w:szCs w:val="24"/>
          <w:highlight w:val="none"/>
        </w:rPr>
        <w:t>开机速度＜5秒</w:t>
      </w:r>
      <w:r>
        <w:rPr>
          <w:rFonts w:hint="eastAsia"/>
          <w:color w:val="000000" w:themeColor="text1"/>
          <w:highlight w:val="none"/>
          <w14:textFill>
            <w14:solidFill>
              <w14:schemeClr w14:val="tx1"/>
            </w14:solidFill>
          </w14:textFill>
        </w:rPr>
        <w:t>。</w:t>
      </w:r>
    </w:p>
    <w:p w14:paraId="574C8FCA">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支持选中取流成功的窗口操作远程云台功能。</w:t>
      </w:r>
    </w:p>
    <w:p w14:paraId="22733A75">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将远程笔记本桌面进行整屏、单窗口抓屏上墙，实时画面帧率最大≥</w:t>
      </w:r>
      <w:r>
        <w:rPr>
          <w:color w:val="000000" w:themeColor="text1"/>
          <w:highlight w:val="none"/>
          <w14:textFill>
            <w14:solidFill>
              <w14:schemeClr w14:val="tx1"/>
            </w14:solidFill>
          </w14:textFill>
        </w:rPr>
        <w:t>30fps</w:t>
      </w:r>
      <w:r>
        <w:rPr>
          <w:rFonts w:hint="eastAsia"/>
          <w:color w:val="000000" w:themeColor="text1"/>
          <w:highlight w:val="none"/>
          <w14:textFill>
            <w14:solidFill>
              <w14:schemeClr w14:val="tx1"/>
            </w14:solidFill>
          </w14:textFill>
        </w:rPr>
        <w:t>；支持同时</w:t>
      </w:r>
      <w:r>
        <w:rPr>
          <w:rFonts w:hint="eastAsia"/>
          <w:color w:val="000000" w:themeColor="text1"/>
          <w:highlight w:val="none"/>
          <w:lang w:val="en-US" w:eastAsia="zh-CN"/>
          <w14:textFill>
            <w14:solidFill>
              <w14:schemeClr w14:val="tx1"/>
            </w14:solidFill>
          </w14:textFill>
        </w:rPr>
        <w:t>至少</w:t>
      </w:r>
      <w:r>
        <w:rPr>
          <w:color w:val="000000" w:themeColor="text1"/>
          <w:highlight w:val="none"/>
          <w14:textFill>
            <w14:solidFill>
              <w14:schemeClr w14:val="tx1"/>
            </w14:solidFill>
          </w14:textFill>
        </w:rPr>
        <w:t>8</w:t>
      </w:r>
      <w:r>
        <w:rPr>
          <w:rFonts w:hint="eastAsia"/>
          <w:color w:val="000000" w:themeColor="text1"/>
          <w:highlight w:val="none"/>
          <w14:textFill>
            <w14:solidFill>
              <w14:schemeClr w14:val="tx1"/>
            </w14:solidFill>
          </w14:textFill>
        </w:rPr>
        <w:t>路</w:t>
      </w:r>
      <w:r>
        <w:rPr>
          <w:color w:val="000000" w:themeColor="text1"/>
          <w:highlight w:val="none"/>
          <w14:textFill>
            <w14:solidFill>
              <w14:schemeClr w14:val="tx1"/>
            </w14:solidFill>
          </w14:textFill>
        </w:rPr>
        <w:t>4K</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3840</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2160</w:t>
      </w:r>
      <w:r>
        <w:rPr>
          <w:rFonts w:hint="eastAsia"/>
          <w:color w:val="000000" w:themeColor="text1"/>
          <w:highlight w:val="none"/>
          <w14:textFill>
            <w14:solidFill>
              <w14:schemeClr w14:val="tx1"/>
            </w14:solidFill>
          </w14:textFill>
        </w:rPr>
        <w:t>）信号上墙显示，且上墙前后</w:t>
      </w:r>
      <w:r>
        <w:rPr>
          <w:color w:val="000000" w:themeColor="text1"/>
          <w:highlight w:val="none"/>
          <w14:textFill>
            <w14:solidFill>
              <w14:schemeClr w14:val="tx1"/>
            </w14:solidFill>
          </w14:textFill>
        </w:rPr>
        <w:t xml:space="preserve"> CPU </w:t>
      </w:r>
      <w:r>
        <w:rPr>
          <w:rFonts w:hint="eastAsia"/>
          <w:color w:val="000000" w:themeColor="text1"/>
          <w:highlight w:val="none"/>
          <w14:textFill>
            <w14:solidFill>
              <w14:schemeClr w14:val="tx1"/>
            </w14:solidFill>
          </w14:textFill>
        </w:rPr>
        <w:t>占用率无明显变化；支持在电视墙进行</w:t>
      </w:r>
      <w:r>
        <w:rPr>
          <w:rFonts w:hint="eastAsia"/>
          <w:color w:val="000000" w:themeColor="text1"/>
          <w:highlight w:val="none"/>
          <w:lang w:val="en-US" w:eastAsia="zh-CN"/>
          <w14:textFill>
            <w14:solidFill>
              <w14:schemeClr w14:val="tx1"/>
            </w14:solidFill>
          </w14:textFill>
        </w:rPr>
        <w:t>至少</w:t>
      </w:r>
      <w:r>
        <w:rPr>
          <w:color w:val="000000" w:themeColor="text1"/>
          <w:highlight w:val="none"/>
          <w14:textFill>
            <w14:solidFill>
              <w14:schemeClr w14:val="tx1"/>
            </w14:solidFill>
          </w14:textFill>
        </w:rPr>
        <w:t xml:space="preserve">8 </w:t>
      </w:r>
      <w:r>
        <w:rPr>
          <w:rFonts w:hint="eastAsia"/>
          <w:color w:val="000000" w:themeColor="text1"/>
          <w:highlight w:val="none"/>
          <w14:textFill>
            <w14:solidFill>
              <w14:schemeClr w14:val="tx1"/>
            </w14:solidFill>
          </w14:textFill>
        </w:rPr>
        <w:t>画面分割显示</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具体满足工程需求</w:t>
      </w:r>
      <w:r>
        <w:rPr>
          <w:rFonts w:hint="eastAsia"/>
          <w:color w:val="000000" w:themeColor="text1"/>
          <w:highlight w:val="none"/>
          <w14:textFill>
            <w14:solidFill>
              <w14:schemeClr w14:val="tx1"/>
            </w14:solidFill>
          </w14:textFill>
        </w:rPr>
        <w:t>。</w:t>
      </w:r>
    </w:p>
    <w:p w14:paraId="63A2A6CD">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支持通过客户端预编辑操作。预编辑不实时上墙，待完成编辑后切换上墙；预编辑操作包括窗口操作</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开关窗、漫游、缩放、分屏、置顶、置底、子窗口放大还原、启停解码</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、上墙操作（本地信号源、网络源上墙、单窗口轮巡、多窗口轮巡）、字幕操作（开启、关闭、设置参数）。单墙预编辑操作的过程中其他电视墙不受影响。</w:t>
      </w:r>
    </w:p>
    <w:p w14:paraId="009AD44B">
      <w:pPr>
        <w:pStyle w:val="41"/>
        <w:spacing w:line="360" w:lineRule="auto"/>
        <w:ind w:firstLine="482" w:firstLineChars="200"/>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支持将</w:t>
      </w:r>
      <w:r>
        <w:rPr>
          <w:b/>
          <w:color w:val="000000" w:themeColor="text1"/>
          <w:highlight w:val="none"/>
          <w14:textFill>
            <w14:solidFill>
              <w14:schemeClr w14:val="tx1"/>
            </w14:solidFill>
          </w14:textFill>
        </w:rPr>
        <w:t>1</w:t>
      </w:r>
      <w:r>
        <w:rPr>
          <w:rFonts w:hint="eastAsia"/>
          <w:b/>
          <w:color w:val="000000" w:themeColor="text1"/>
          <w:highlight w:val="none"/>
          <w14:textFill>
            <w14:solidFill>
              <w14:schemeClr w14:val="tx1"/>
            </w14:solidFill>
          </w14:textFill>
        </w:rPr>
        <w:t>路输入视频图像发送至多个输出接口拼接显示；支持将多路输入视频图像发送至多个输出接口拼接显示；支持设备内任意输出解码板之间的拼接或集群内任意设备输出口拼接功能。最大支持拼接</w:t>
      </w:r>
      <w:r>
        <w:rPr>
          <w:b/>
          <w:color w:val="000000" w:themeColor="text1"/>
          <w:highlight w:val="none"/>
          <w14:textFill>
            <w14:solidFill>
              <w14:schemeClr w14:val="tx1"/>
            </w14:solidFill>
          </w14:textFill>
        </w:rPr>
        <w:t>32</w:t>
      </w:r>
      <w:r>
        <w:rPr>
          <w:rFonts w:hint="eastAsia"/>
          <w:b/>
          <w:color w:val="000000" w:themeColor="text1"/>
          <w:highlight w:val="none"/>
          <w14:textFill>
            <w14:solidFill>
              <w14:schemeClr w14:val="tx1"/>
            </w14:solidFill>
          </w14:textFill>
        </w:rPr>
        <w:t>路（</w:t>
      </w:r>
      <w:r>
        <w:rPr>
          <w:b/>
          <w:color w:val="000000" w:themeColor="text1"/>
          <w:highlight w:val="none"/>
          <w14:textFill>
            <w14:solidFill>
              <w14:schemeClr w14:val="tx1"/>
            </w14:solidFill>
          </w14:textFill>
        </w:rPr>
        <w:t xml:space="preserve">1920 </w:t>
      </w:r>
      <w:r>
        <w:rPr>
          <w:rFonts w:hint="eastAsia"/>
          <w:b/>
          <w:color w:val="000000" w:themeColor="text1"/>
          <w:highlight w:val="none"/>
          <w14:textFill>
            <w14:solidFill>
              <w14:schemeClr w14:val="tx1"/>
            </w14:solidFill>
          </w14:textFill>
        </w:rPr>
        <w:t>×</w:t>
      </w:r>
      <w:r>
        <w:rPr>
          <w:b/>
          <w:color w:val="000000" w:themeColor="text1"/>
          <w:highlight w:val="none"/>
          <w14:textFill>
            <w14:solidFill>
              <w14:schemeClr w14:val="tx1"/>
            </w14:solidFill>
          </w14:textFill>
        </w:rPr>
        <w:t>1080</w:t>
      </w:r>
      <w:r>
        <w:rPr>
          <w:rFonts w:hint="eastAsia"/>
          <w:b/>
          <w:color w:val="000000" w:themeColor="text1"/>
          <w:highlight w:val="none"/>
          <w14:textFill>
            <w14:solidFill>
              <w14:schemeClr w14:val="tx1"/>
            </w14:solidFill>
          </w14:textFill>
        </w:rPr>
        <w:t>）像素的视频图像；拼接时不同输出口之间画面同步，无撕裂感，且无缝拼接。支持多块屏幕图像的任意规格拼接，支持将所有显示单元拼接形成一个高分辨率的无缝单一屏。</w:t>
      </w:r>
      <w:r>
        <w:rPr>
          <w:rFonts w:hint="eastAsia"/>
          <w:color w:val="000000" w:themeColor="text1"/>
          <w:highlight w:val="none"/>
          <w14:textFill>
            <w14:solidFill>
              <w14:schemeClr w14:val="tx1"/>
            </w14:solidFill>
          </w14:textFill>
        </w:rPr>
        <w:t>全屏刷新时间≤</w:t>
      </w:r>
      <w:r>
        <w:rPr>
          <w:color w:val="000000" w:themeColor="text1"/>
          <w:highlight w:val="none"/>
          <w14:textFill>
            <w14:solidFill>
              <w14:schemeClr w14:val="tx1"/>
            </w14:solidFill>
          </w14:textFill>
        </w:rPr>
        <w:t>20ms</w:t>
      </w:r>
      <w:r>
        <w:rPr>
          <w:rFonts w:hint="eastAsia"/>
          <w:color w:val="000000" w:themeColor="text1"/>
          <w:highlight w:val="none"/>
          <w14:textFill>
            <w14:solidFill>
              <w14:schemeClr w14:val="tx1"/>
            </w14:solidFill>
          </w14:textFill>
        </w:rPr>
        <w:t>。</w:t>
      </w:r>
    </w:p>
    <w:p w14:paraId="5F2D7387">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支持对接入视频图像进行</w:t>
      </w:r>
      <w:r>
        <w:rPr>
          <w:color w:val="000000" w:themeColor="text1"/>
          <w:highlight w:val="none"/>
          <w14:textFill>
            <w14:solidFill>
              <w14:schemeClr w14:val="tx1"/>
            </w14:solidFill>
          </w14:textFill>
        </w:rPr>
        <w:t>1/4/6/8/9/16/25/36/49/64</w:t>
      </w:r>
      <w:r>
        <w:rPr>
          <w:rFonts w:hint="eastAsia"/>
          <w:color w:val="000000" w:themeColor="text1"/>
          <w:highlight w:val="none"/>
          <w14:textFill>
            <w14:solidFill>
              <w14:schemeClr w14:val="tx1"/>
            </w14:solidFill>
          </w14:textFill>
        </w:rPr>
        <w:t>画面分割显示，视频切换流畅无黑屏。整机</w:t>
      </w:r>
      <w:r>
        <w:rPr>
          <w:color w:val="000000" w:themeColor="text1"/>
          <w:highlight w:val="none"/>
          <w14:textFill>
            <w14:solidFill>
              <w14:schemeClr w14:val="tx1"/>
            </w14:solidFill>
          </w14:textFill>
        </w:rPr>
        <w:t>10</w:t>
      </w:r>
      <w:r>
        <w:rPr>
          <w:rFonts w:hint="eastAsia"/>
          <w:color w:val="000000" w:themeColor="text1"/>
          <w:highlight w:val="none"/>
          <w14:textFill>
            <w14:solidFill>
              <w14:schemeClr w14:val="tx1"/>
            </w14:solidFill>
          </w14:textFill>
        </w:rPr>
        <w:t>张解码板支持最大</w:t>
      </w:r>
      <w:r>
        <w:rPr>
          <w:color w:val="000000" w:themeColor="text1"/>
          <w:highlight w:val="none"/>
          <w14:textFill>
            <w14:solidFill>
              <w14:schemeClr w14:val="tx1"/>
            </w14:solidFill>
          </w14:textFill>
        </w:rPr>
        <w:t>512</w:t>
      </w:r>
      <w:r>
        <w:rPr>
          <w:rFonts w:hint="eastAsia"/>
          <w:color w:val="000000" w:themeColor="text1"/>
          <w:highlight w:val="none"/>
          <w14:textFill>
            <w14:solidFill>
              <w14:schemeClr w14:val="tx1"/>
            </w14:solidFill>
          </w14:textFill>
        </w:rPr>
        <w:t>个窗口。</w:t>
      </w:r>
    </w:p>
    <w:p w14:paraId="115D72AD">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支持日期时间和字符两种字符叠加（</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）类型配置。支持手动启用或停用</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；日期时间</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支持修改日期格式和时间格式；字符叠加</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支持自定义</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内容，并支持修改字体大小、字体颜色和</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显示位置坐标；支持将一个本地信号源的</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配置参数复制到其他通道进行批量配置；客户端可实时预览叠加</w:t>
      </w:r>
      <w:r>
        <w:rPr>
          <w:color w:val="000000" w:themeColor="text1"/>
          <w:highlight w:val="none"/>
          <w14:textFill>
            <w14:solidFill>
              <w14:schemeClr w14:val="tx1"/>
            </w14:solidFill>
          </w14:textFill>
        </w:rPr>
        <w:t>OSD</w:t>
      </w:r>
      <w:r>
        <w:rPr>
          <w:rFonts w:hint="eastAsia"/>
          <w:color w:val="000000" w:themeColor="text1"/>
          <w:highlight w:val="none"/>
          <w14:textFill>
            <w14:solidFill>
              <w14:schemeClr w14:val="tx1"/>
            </w14:solidFill>
          </w14:textFill>
        </w:rPr>
        <w:t>的图像。</w:t>
      </w:r>
    </w:p>
    <w:p w14:paraId="64D2A77D">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支持虚拟</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字幕功能，支持设置字体颜色、背景颜色，滚动和静止模式，滚动速度，滚动的情况下要求流畅无卡顿；字幕内容输入支持中英文字符，支持换行；设备支持时钟数字显示，时间为设备自身时间；支持配置显示年月日时分秒的样式以及</w:t>
      </w:r>
      <w:r>
        <w:rPr>
          <w:color w:val="000000" w:themeColor="text1"/>
          <w:highlight w:val="none"/>
          <w14:textFill>
            <w14:solidFill>
              <w14:schemeClr w14:val="tx1"/>
            </w14:solidFill>
          </w14:textFill>
        </w:rPr>
        <w:t>12/24</w:t>
      </w:r>
      <w:r>
        <w:rPr>
          <w:rFonts w:hint="eastAsia"/>
          <w:color w:val="000000" w:themeColor="text1"/>
          <w:highlight w:val="none"/>
          <w14:textFill>
            <w14:solidFill>
              <w14:schemeClr w14:val="tx1"/>
            </w14:solidFill>
          </w14:textFill>
        </w:rPr>
        <w:t>时间制式；整机</w:t>
      </w:r>
      <w:r>
        <w:rPr>
          <w:color w:val="000000" w:themeColor="text1"/>
          <w:highlight w:val="none"/>
          <w14:textFill>
            <w14:solidFill>
              <w14:schemeClr w14:val="tx1"/>
            </w14:solidFill>
          </w14:textFill>
        </w:rPr>
        <w:t>10</w:t>
      </w:r>
      <w:r>
        <w:rPr>
          <w:rFonts w:hint="eastAsia"/>
          <w:color w:val="000000" w:themeColor="text1"/>
          <w:highlight w:val="none"/>
          <w14:textFill>
            <w14:solidFill>
              <w14:schemeClr w14:val="tx1"/>
            </w14:solidFill>
          </w14:textFill>
        </w:rPr>
        <w:t>张解码卡最大支持</w:t>
      </w:r>
      <w:r>
        <w:rPr>
          <w:color w:val="000000" w:themeColor="text1"/>
          <w:highlight w:val="none"/>
          <w14:textFill>
            <w14:solidFill>
              <w14:schemeClr w14:val="tx1"/>
            </w14:solidFill>
          </w14:textFill>
        </w:rPr>
        <w:t>8</w:t>
      </w:r>
      <w:r>
        <w:rPr>
          <w:rFonts w:hint="eastAsia"/>
          <w:color w:val="000000" w:themeColor="text1"/>
          <w:highlight w:val="none"/>
          <w14:textFill>
            <w14:solidFill>
              <w14:schemeClr w14:val="tx1"/>
            </w14:solidFill>
          </w14:textFill>
        </w:rPr>
        <w:t>个字幕同时显示，单墙支持</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条字幕；支持滚动模式下首尾相接效果，支持跑马灯效果。</w:t>
      </w:r>
    </w:p>
    <w:p w14:paraId="0483DE8F">
      <w:pPr>
        <w:pStyle w:val="41"/>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w:t>
      </w:r>
      <w:r>
        <w:rPr>
          <w:color w:val="000000" w:themeColor="text1"/>
          <w:highlight w:val="none"/>
          <w14:textFill>
            <w14:solidFill>
              <w14:schemeClr w14:val="tx1"/>
            </w14:solidFill>
          </w14:textFill>
        </w:rPr>
        <w:t>IPV6</w:t>
      </w:r>
      <w:r>
        <w:rPr>
          <w:rFonts w:hint="eastAsia"/>
          <w:color w:val="000000" w:themeColor="text1"/>
          <w:highlight w:val="none"/>
          <w14:textFill>
            <w14:solidFill>
              <w14:schemeClr w14:val="tx1"/>
            </w14:solidFill>
          </w14:textFill>
        </w:rPr>
        <w:t>网络协议兼容，支持与</w:t>
      </w:r>
      <w:r>
        <w:rPr>
          <w:color w:val="000000" w:themeColor="text1"/>
          <w:highlight w:val="none"/>
          <w14:textFill>
            <w14:solidFill>
              <w14:schemeClr w14:val="tx1"/>
            </w14:solidFill>
          </w14:textFill>
        </w:rPr>
        <w:t>IPC</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NVR</w:t>
      </w:r>
      <w:r>
        <w:rPr>
          <w:rFonts w:hint="eastAsia"/>
          <w:color w:val="000000" w:themeColor="text1"/>
          <w:highlight w:val="none"/>
          <w14:textFill>
            <w14:solidFill>
              <w14:schemeClr w14:val="tx1"/>
            </w14:solidFill>
          </w14:textFill>
        </w:rPr>
        <w:t>、平台设备对接。</w:t>
      </w:r>
      <w:r>
        <w:rPr>
          <w:rFonts w:hint="eastAsia"/>
          <w:b/>
          <w:color w:val="000000" w:themeColor="text1"/>
          <w:highlight w:val="none"/>
          <w14:textFill>
            <w14:solidFill>
              <w14:schemeClr w14:val="tx1"/>
            </w14:solidFill>
          </w14:textFill>
        </w:rPr>
        <w:t>支持获取序列号、软件版本、工作时长、设备温度等屏幕关键信息；支持控制拼接屏开关；支持获取并调节屏幕背光；支持获取并调节屏幕图像模式</w:t>
      </w:r>
      <w:r>
        <w:rPr>
          <w:rFonts w:hint="eastAsia"/>
          <w:color w:val="000000" w:themeColor="text1"/>
          <w:highlight w:val="none"/>
          <w14:textFill>
            <w14:solidFill>
              <w14:schemeClr w14:val="tx1"/>
            </w14:solidFill>
          </w14:textFill>
        </w:rPr>
        <w:t>。支持通过自动识别屏幕的行列号信息生成对应的电视墙规模和绑定输出口关系，进行绑定。</w:t>
      </w:r>
      <w:r>
        <w:rPr>
          <w:rFonts w:hint="eastAsia"/>
          <w:b/>
          <w:color w:val="000000" w:themeColor="text1"/>
          <w:highlight w:val="none"/>
          <w14:textFill>
            <w14:solidFill>
              <w14:schemeClr w14:val="tx1"/>
            </w14:solidFill>
          </w14:textFill>
        </w:rPr>
        <w:t>支持电源冗余设置，支持（</w:t>
      </w:r>
      <w:r>
        <w:rPr>
          <w:b/>
          <w:color w:val="000000" w:themeColor="text1"/>
          <w:highlight w:val="none"/>
          <w14:textFill>
            <w14:solidFill>
              <w14:schemeClr w14:val="tx1"/>
            </w14:solidFill>
          </w14:textFill>
        </w:rPr>
        <w:t>1+1</w:t>
      </w:r>
      <w:r>
        <w:rPr>
          <w:rFonts w:hint="eastAsia"/>
          <w:b/>
          <w:color w:val="000000" w:themeColor="text1"/>
          <w:highlight w:val="none"/>
          <w14:textFill>
            <w14:solidFill>
              <w14:schemeClr w14:val="tx1"/>
            </w14:solidFill>
          </w14:textFill>
        </w:rPr>
        <w:t>）冗余电源，当一路电源模块出现异常时，系统可以自动无缝切换到备用电源模块，电源切换过程系统运行不受影响。支持根据温度变化自动调整转速，风扇模块支持热插拔操作。本地信号源输入到输出延时≤</w:t>
      </w:r>
      <w:r>
        <w:rPr>
          <w:b/>
          <w:color w:val="000000" w:themeColor="text1"/>
          <w:highlight w:val="none"/>
          <w14:textFill>
            <w14:solidFill>
              <w14:schemeClr w14:val="tx1"/>
            </w14:solidFill>
          </w14:textFill>
        </w:rPr>
        <w:t>80</w:t>
      </w:r>
      <w:r>
        <w:rPr>
          <w:rFonts w:hint="eastAsia"/>
          <w:b/>
          <w:color w:val="000000" w:themeColor="text1"/>
          <w:highlight w:val="none"/>
          <w14:textFill>
            <w14:solidFill>
              <w14:schemeClr w14:val="tx1"/>
            </w14:solidFill>
          </w14:textFill>
        </w:rPr>
        <w:t>毫秒。</w:t>
      </w:r>
    </w:p>
    <w:p w14:paraId="0051A41B">
      <w:pPr>
        <w:pStyle w:val="41"/>
        <w:tabs>
          <w:tab w:val="left" w:pos="1890"/>
        </w:tabs>
        <w:spacing w:line="360" w:lineRule="auto"/>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4.5.4</w:t>
      </w:r>
      <w:r>
        <w:rPr>
          <w:rFonts w:hint="eastAsia"/>
          <w:b/>
          <w:bCs/>
          <w:color w:val="000000" w:themeColor="text1"/>
          <w:kern w:val="2"/>
          <w:szCs w:val="24"/>
          <w:highlight w:val="none"/>
          <w14:textFill>
            <w14:solidFill>
              <w14:schemeClr w14:val="tx1"/>
            </w14:solidFill>
          </w14:textFill>
        </w:rPr>
        <w:t>控制软件一体机</w:t>
      </w:r>
    </w:p>
    <w:p w14:paraId="694BABCC">
      <w:pPr>
        <w:pStyle w:val="41"/>
        <w:spacing w:line="360" w:lineRule="auto"/>
        <w:ind w:firstLine="482" w:firstLineChars="200"/>
        <w:rPr>
          <w:b/>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为方便管理维护，要求本次显示屏及拼控软件同一品牌，保障产品售后服务。软件需要对接采集</w:t>
      </w:r>
      <w:r>
        <w:rPr>
          <w:b/>
          <w:color w:val="000000" w:themeColor="text1"/>
          <w:kern w:val="2"/>
          <w:szCs w:val="24"/>
          <w:highlight w:val="none"/>
          <w14:textFill>
            <w14:solidFill>
              <w14:schemeClr w14:val="tx1"/>
            </w14:solidFill>
          </w14:textFill>
        </w:rPr>
        <w:t>DCS</w:t>
      </w:r>
      <w:r>
        <w:rPr>
          <w:rFonts w:hint="eastAsia"/>
          <w:b/>
          <w:color w:val="000000" w:themeColor="text1"/>
          <w:kern w:val="2"/>
          <w:szCs w:val="24"/>
          <w:highlight w:val="none"/>
          <w14:textFill>
            <w14:solidFill>
              <w14:schemeClr w14:val="tx1"/>
            </w14:solidFill>
          </w14:textFill>
        </w:rPr>
        <w:t>控制器中生产数据，处理后实现数据上墙显示，</w:t>
      </w:r>
      <w:r>
        <w:rPr>
          <w:rFonts w:hint="eastAsia"/>
          <w:b/>
          <w:color w:val="000000" w:themeColor="text1"/>
          <w:kern w:val="2"/>
          <w:szCs w:val="24"/>
          <w:highlight w:val="none"/>
          <w:lang w:val="en-US" w:eastAsia="zh-CN"/>
          <w14:textFill>
            <w14:solidFill>
              <w14:schemeClr w14:val="tx1"/>
            </w14:solidFill>
          </w14:textFill>
        </w:rPr>
        <w:t>投标人</w:t>
      </w:r>
      <w:r>
        <w:rPr>
          <w:rFonts w:hint="eastAsia"/>
          <w:b/>
          <w:color w:val="000000" w:themeColor="text1"/>
          <w:kern w:val="2"/>
          <w:szCs w:val="24"/>
          <w:highlight w:val="none"/>
          <w14:textFill>
            <w14:solidFill>
              <w14:schemeClr w14:val="tx1"/>
            </w14:solidFill>
          </w14:textFill>
        </w:rPr>
        <w:t>需要</w:t>
      </w:r>
      <w:r>
        <w:rPr>
          <w:b/>
          <w:color w:val="000000" w:themeColor="text1"/>
          <w:kern w:val="2"/>
          <w:szCs w:val="24"/>
          <w:highlight w:val="none"/>
          <w14:textFill>
            <w14:solidFill>
              <w14:schemeClr w14:val="tx1"/>
            </w14:solidFill>
          </w14:textFill>
        </w:rPr>
        <w:t>DCS</w:t>
      </w:r>
      <w:r>
        <w:rPr>
          <w:rFonts w:hint="eastAsia"/>
          <w:b/>
          <w:color w:val="000000" w:themeColor="text1"/>
          <w:kern w:val="2"/>
          <w:szCs w:val="24"/>
          <w:highlight w:val="none"/>
          <w14:textFill>
            <w14:solidFill>
              <w14:schemeClr w14:val="tx1"/>
            </w14:solidFill>
          </w14:textFill>
        </w:rPr>
        <w:t>软件数据上墙案例证明。</w:t>
      </w:r>
    </w:p>
    <w:p w14:paraId="739500EA">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搭载</w:t>
      </w:r>
      <w:r>
        <w:rPr>
          <w:color w:val="000000" w:themeColor="text1"/>
          <w:kern w:val="2"/>
          <w:szCs w:val="24"/>
          <w:highlight w:val="none"/>
          <w14:textFill>
            <w14:solidFill>
              <w14:schemeClr w14:val="tx1"/>
            </w14:solidFill>
          </w14:textFill>
        </w:rPr>
        <w:t>8</w:t>
      </w:r>
      <w:r>
        <w:rPr>
          <w:rFonts w:hint="eastAsia"/>
          <w:color w:val="000000" w:themeColor="text1"/>
          <w:kern w:val="2"/>
          <w:szCs w:val="24"/>
          <w:highlight w:val="none"/>
          <w14:textFill>
            <w14:solidFill>
              <w14:schemeClr w14:val="tx1"/>
            </w14:solidFill>
          </w14:textFill>
        </w:rPr>
        <w:t>核</w:t>
      </w:r>
      <w:r>
        <w:rPr>
          <w:color w:val="000000" w:themeColor="text1"/>
          <w:kern w:val="2"/>
          <w:szCs w:val="24"/>
          <w:highlight w:val="none"/>
          <w14:textFill>
            <w14:solidFill>
              <w14:schemeClr w14:val="tx1"/>
            </w14:solidFill>
          </w14:textFill>
        </w:rPr>
        <w:t>X86</w:t>
      </w:r>
      <w:r>
        <w:rPr>
          <w:rFonts w:hint="eastAsia"/>
          <w:color w:val="000000" w:themeColor="text1"/>
          <w:kern w:val="2"/>
          <w:szCs w:val="24"/>
          <w:highlight w:val="none"/>
          <w14:textFill>
            <w14:solidFill>
              <w14:schemeClr w14:val="tx1"/>
            </w14:solidFill>
          </w14:textFill>
        </w:rPr>
        <w:t>系列</w:t>
      </w:r>
      <w:r>
        <w:rPr>
          <w:color w:val="000000" w:themeColor="text1"/>
          <w:kern w:val="2"/>
          <w:szCs w:val="24"/>
          <w:highlight w:val="none"/>
          <w14:textFill>
            <w14:solidFill>
              <w14:schemeClr w14:val="tx1"/>
            </w14:solidFill>
          </w14:textFill>
        </w:rPr>
        <w:t>CPU</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8G</w:t>
      </w:r>
      <w:r>
        <w:rPr>
          <w:rFonts w:hint="eastAsia"/>
          <w:color w:val="000000" w:themeColor="text1"/>
          <w:kern w:val="2"/>
          <w:szCs w:val="24"/>
          <w:highlight w:val="none"/>
          <w14:textFill>
            <w14:solidFill>
              <w14:schemeClr w14:val="tx1"/>
            </w14:solidFill>
          </w14:textFill>
        </w:rPr>
        <w:t>双通道内存，</w:t>
      </w:r>
      <w:r>
        <w:rPr>
          <w:color w:val="000000" w:themeColor="text1"/>
          <w:kern w:val="2"/>
          <w:szCs w:val="24"/>
          <w:highlight w:val="none"/>
          <w14:textFill>
            <w14:solidFill>
              <w14:schemeClr w14:val="tx1"/>
            </w14:solidFill>
          </w14:textFill>
        </w:rPr>
        <w:t>256G</w:t>
      </w:r>
      <w:r>
        <w:rPr>
          <w:rFonts w:hint="eastAsia"/>
          <w:color w:val="000000" w:themeColor="text1"/>
          <w:kern w:val="2"/>
          <w:szCs w:val="24"/>
          <w:highlight w:val="none"/>
          <w14:textFill>
            <w14:solidFill>
              <w14:schemeClr w14:val="tx1"/>
            </w14:solidFill>
          </w14:textFill>
        </w:rPr>
        <w:t>高速</w:t>
      </w:r>
      <w:r>
        <w:rPr>
          <w:color w:val="000000" w:themeColor="text1"/>
          <w:kern w:val="2"/>
          <w:szCs w:val="24"/>
          <w:highlight w:val="none"/>
          <w14:textFill>
            <w14:solidFill>
              <w14:schemeClr w14:val="tx1"/>
            </w14:solidFill>
          </w14:textFill>
        </w:rPr>
        <w:t>SSD</w:t>
      </w:r>
      <w:r>
        <w:rPr>
          <w:rFonts w:hint="eastAsia"/>
          <w:color w:val="000000" w:themeColor="text1"/>
          <w:kern w:val="2"/>
          <w:szCs w:val="24"/>
          <w:highlight w:val="none"/>
          <w14:textFill>
            <w14:solidFill>
              <w14:schemeClr w14:val="tx1"/>
            </w14:solidFill>
          </w14:textFill>
        </w:rPr>
        <w:t>系统盘，</w:t>
      </w:r>
      <w:r>
        <w:rPr>
          <w:color w:val="000000" w:themeColor="text1"/>
          <w:kern w:val="2"/>
          <w:szCs w:val="24"/>
          <w:highlight w:val="none"/>
          <w14:textFill>
            <w14:solidFill>
              <w14:schemeClr w14:val="tx1"/>
            </w14:solidFill>
          </w14:textFill>
        </w:rPr>
        <w:t>2G</w:t>
      </w:r>
      <w:r>
        <w:rPr>
          <w:rFonts w:hint="eastAsia"/>
          <w:color w:val="000000" w:themeColor="text1"/>
          <w:kern w:val="2"/>
          <w:szCs w:val="24"/>
          <w:highlight w:val="none"/>
          <w14:textFill>
            <w14:solidFill>
              <w14:schemeClr w14:val="tx1"/>
            </w14:solidFill>
          </w14:textFill>
        </w:rPr>
        <w:t>独立显卡；</w:t>
      </w:r>
    </w:p>
    <w:p w14:paraId="1DBE64A5">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接口丰富，支持</w:t>
      </w:r>
      <w:r>
        <w:rPr>
          <w:color w:val="000000" w:themeColor="text1"/>
          <w:kern w:val="2"/>
          <w:szCs w:val="24"/>
          <w:highlight w:val="none"/>
          <w14:textFill>
            <w14:solidFill>
              <w14:schemeClr w14:val="tx1"/>
            </w14:solidFill>
          </w14:textFill>
        </w:rPr>
        <w:t>HDMI</w:t>
      </w:r>
      <w:r>
        <w:rPr>
          <w:rFonts w:hint="eastAsia"/>
          <w:color w:val="000000" w:themeColor="text1"/>
          <w:kern w:val="2"/>
          <w:szCs w:val="24"/>
          <w:highlight w:val="none"/>
          <w14:textFill>
            <w14:solidFill>
              <w14:schemeClr w14:val="tx1"/>
            </w14:solidFill>
          </w14:textFill>
        </w:rPr>
        <w:t>高清音视频输出接口，音频输入</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输出接口，双千兆网口，</w:t>
      </w:r>
      <w:r>
        <w:rPr>
          <w:color w:val="000000" w:themeColor="text1"/>
          <w:kern w:val="2"/>
          <w:szCs w:val="24"/>
          <w:highlight w:val="none"/>
          <w14:textFill>
            <w14:solidFill>
              <w14:schemeClr w14:val="tx1"/>
            </w14:solidFill>
          </w14:textFill>
        </w:rPr>
        <w:t>4</w:t>
      </w:r>
      <w:r>
        <w:rPr>
          <w:rFonts w:hint="eastAsia"/>
          <w:color w:val="000000" w:themeColor="text1"/>
          <w:kern w:val="2"/>
          <w:szCs w:val="24"/>
          <w:highlight w:val="none"/>
          <w14:textFill>
            <w14:solidFill>
              <w14:schemeClr w14:val="tx1"/>
            </w14:solidFill>
          </w14:textFill>
        </w:rPr>
        <w:t>个</w:t>
      </w:r>
      <w:r>
        <w:rPr>
          <w:color w:val="000000" w:themeColor="text1"/>
          <w:kern w:val="2"/>
          <w:szCs w:val="24"/>
          <w:highlight w:val="none"/>
          <w14:textFill>
            <w14:solidFill>
              <w14:schemeClr w14:val="tx1"/>
            </w14:solidFill>
          </w14:textFill>
        </w:rPr>
        <w:t>USB2.0+4</w:t>
      </w:r>
      <w:r>
        <w:rPr>
          <w:rFonts w:hint="eastAsia"/>
          <w:color w:val="000000" w:themeColor="text1"/>
          <w:kern w:val="2"/>
          <w:szCs w:val="24"/>
          <w:highlight w:val="none"/>
          <w14:textFill>
            <w14:solidFill>
              <w14:schemeClr w14:val="tx1"/>
            </w14:solidFill>
          </w14:textFill>
        </w:rPr>
        <w:t>个</w:t>
      </w:r>
      <w:r>
        <w:rPr>
          <w:color w:val="000000" w:themeColor="text1"/>
          <w:kern w:val="2"/>
          <w:szCs w:val="24"/>
          <w:highlight w:val="none"/>
          <w14:textFill>
            <w14:solidFill>
              <w14:schemeClr w14:val="tx1"/>
            </w14:solidFill>
          </w14:textFill>
        </w:rPr>
        <w:t>USB3.0</w:t>
      </w:r>
      <w:r>
        <w:rPr>
          <w:rFonts w:hint="eastAsia"/>
          <w:color w:val="000000" w:themeColor="text1"/>
          <w:kern w:val="2"/>
          <w:szCs w:val="24"/>
          <w:highlight w:val="none"/>
          <w14:textFill>
            <w14:solidFill>
              <w14:schemeClr w14:val="tx1"/>
            </w14:solidFill>
          </w14:textFill>
        </w:rPr>
        <w:t>接口</w:t>
      </w:r>
    </w:p>
    <w:p w14:paraId="7933D207">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软硬一体设计，出厂自带</w:t>
      </w:r>
      <w:r>
        <w:rPr>
          <w:color w:val="000000" w:themeColor="text1"/>
          <w:kern w:val="2"/>
          <w:szCs w:val="24"/>
          <w:highlight w:val="none"/>
          <w14:textFill>
            <w14:solidFill>
              <w14:schemeClr w14:val="tx1"/>
            </w14:solidFill>
          </w14:textFill>
        </w:rPr>
        <w:t>Windows</w:t>
      </w:r>
      <w:r>
        <w:rPr>
          <w:rFonts w:hint="eastAsia"/>
          <w:color w:val="000000" w:themeColor="text1"/>
          <w:kern w:val="2"/>
          <w:szCs w:val="24"/>
          <w:highlight w:val="none"/>
          <w14:textFill>
            <w14:solidFill>
              <w14:schemeClr w14:val="tx1"/>
            </w14:solidFill>
          </w14:textFill>
        </w:rPr>
        <w:t>操作系统及已授权平台软件，免安装易部署；</w:t>
      </w:r>
    </w:p>
    <w:p w14:paraId="7DF00541">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预装智能大屏管理平台，具备</w:t>
      </w:r>
      <w:r>
        <w:rPr>
          <w:color w:val="000000" w:themeColor="text1"/>
          <w:kern w:val="2"/>
          <w:szCs w:val="24"/>
          <w:highlight w:val="none"/>
          <w14:textFill>
            <w14:solidFill>
              <w14:schemeClr w14:val="tx1"/>
            </w14:solidFill>
          </w14:textFill>
        </w:rPr>
        <w:t>C/S</w:t>
      </w:r>
      <w:r>
        <w:rPr>
          <w:rFonts w:hint="eastAsia"/>
          <w:color w:val="000000" w:themeColor="text1"/>
          <w:kern w:val="2"/>
          <w:szCs w:val="24"/>
          <w:highlight w:val="none"/>
          <w14:textFill>
            <w14:solidFill>
              <w14:schemeClr w14:val="tx1"/>
            </w14:solidFill>
          </w14:textFill>
        </w:rPr>
        <w:t>和</w:t>
      </w:r>
      <w:r>
        <w:rPr>
          <w:color w:val="000000" w:themeColor="text1"/>
          <w:kern w:val="2"/>
          <w:szCs w:val="24"/>
          <w:highlight w:val="none"/>
          <w14:textFill>
            <w14:solidFill>
              <w14:schemeClr w14:val="tx1"/>
            </w14:solidFill>
          </w14:textFill>
        </w:rPr>
        <w:t>B/S</w:t>
      </w:r>
      <w:r>
        <w:rPr>
          <w:rFonts w:hint="eastAsia"/>
          <w:color w:val="000000" w:themeColor="text1"/>
          <w:kern w:val="2"/>
          <w:szCs w:val="24"/>
          <w:highlight w:val="none"/>
          <w14:textFill>
            <w14:solidFill>
              <w14:schemeClr w14:val="tx1"/>
            </w14:solidFill>
          </w14:textFill>
        </w:rPr>
        <w:t>结构，可通过客户端软件、平板和浏览器对大屏系统进行统一管理，包括大屏门户、场景配置、预案切换、远程操控、信号控制、一键上墙、内容切换、多屏互动、窗口叠加</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拼接</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漫游</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放大</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缩小</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移动</w:t>
      </w:r>
      <w:r>
        <w:rPr>
          <w:color w:val="000000" w:themeColor="text1"/>
          <w:kern w:val="2"/>
          <w:szCs w:val="24"/>
          <w:highlight w:val="none"/>
          <w14:textFill>
            <w14:solidFill>
              <w14:schemeClr w14:val="tx1"/>
            </w14:solidFill>
          </w14:textFill>
        </w:rPr>
        <w:t>/</w:t>
      </w:r>
      <w:r>
        <w:rPr>
          <w:rFonts w:hint="eastAsia"/>
          <w:color w:val="000000" w:themeColor="text1"/>
          <w:kern w:val="2"/>
          <w:szCs w:val="24"/>
          <w:highlight w:val="none"/>
          <w14:textFill>
            <w14:solidFill>
              <w14:schemeClr w14:val="tx1"/>
            </w14:solidFill>
          </w14:textFill>
        </w:rPr>
        <w:t>关闭等操作；支持查看信号源实时画面，实时查看大屏中正在播放的内容等功能；</w:t>
      </w:r>
    </w:p>
    <w:p w14:paraId="0C058DC7">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系统支持网页、客户端、</w:t>
      </w:r>
      <w:r>
        <w:rPr>
          <w:color w:val="000000" w:themeColor="text1"/>
          <w:kern w:val="2"/>
          <w:szCs w:val="24"/>
          <w:highlight w:val="none"/>
          <w14:textFill>
            <w14:solidFill>
              <w14:schemeClr w14:val="tx1"/>
            </w14:solidFill>
          </w14:textFill>
        </w:rPr>
        <w:t>APP</w:t>
      </w:r>
      <w:r>
        <w:rPr>
          <w:rFonts w:hint="eastAsia"/>
          <w:color w:val="000000" w:themeColor="text1"/>
          <w:kern w:val="2"/>
          <w:szCs w:val="24"/>
          <w:highlight w:val="none"/>
          <w14:textFill>
            <w14:solidFill>
              <w14:schemeClr w14:val="tx1"/>
            </w14:solidFill>
          </w14:textFill>
        </w:rPr>
        <w:t>（安卓、鸿蒙、</w:t>
      </w:r>
      <w:r>
        <w:rPr>
          <w:color w:val="000000" w:themeColor="text1"/>
          <w:kern w:val="2"/>
          <w:szCs w:val="24"/>
          <w:highlight w:val="none"/>
          <w14:textFill>
            <w14:solidFill>
              <w14:schemeClr w14:val="tx1"/>
            </w14:solidFill>
          </w14:textFill>
        </w:rPr>
        <w:t>IOS</w:t>
      </w:r>
      <w:r>
        <w:rPr>
          <w:rFonts w:hint="eastAsia"/>
          <w:color w:val="000000" w:themeColor="text1"/>
          <w:kern w:val="2"/>
          <w:szCs w:val="24"/>
          <w:highlight w:val="none"/>
          <w14:textFill>
            <w14:solidFill>
              <w14:schemeClr w14:val="tx1"/>
            </w14:solidFill>
          </w14:textFill>
        </w:rPr>
        <w:t>、</w:t>
      </w:r>
      <w:r>
        <w:rPr>
          <w:color w:val="000000" w:themeColor="text1"/>
          <w:kern w:val="2"/>
          <w:szCs w:val="24"/>
          <w:highlight w:val="none"/>
          <w14:textFill>
            <w14:solidFill>
              <w14:schemeClr w14:val="tx1"/>
            </w14:solidFill>
          </w14:textFill>
        </w:rPr>
        <w:t>windows</w:t>
      </w:r>
      <w:r>
        <w:rPr>
          <w:rFonts w:hint="eastAsia"/>
          <w:color w:val="000000" w:themeColor="text1"/>
          <w:kern w:val="2"/>
          <w:szCs w:val="24"/>
          <w:highlight w:val="none"/>
          <w14:textFill>
            <w14:solidFill>
              <w14:schemeClr w14:val="tx1"/>
            </w14:solidFill>
          </w14:textFill>
        </w:rPr>
        <w:t>）三端数据实时同步；</w:t>
      </w:r>
      <w:r>
        <w:rPr>
          <w:color w:val="000000" w:themeColor="text1"/>
          <w:kern w:val="2"/>
          <w:szCs w:val="24"/>
          <w:highlight w:val="none"/>
          <w14:textFill>
            <w14:solidFill>
              <w14:schemeClr w14:val="tx1"/>
            </w14:solidFill>
          </w14:textFill>
        </w:rPr>
        <w:t>WEB</w:t>
      </w:r>
      <w:r>
        <w:rPr>
          <w:rFonts w:hint="eastAsia"/>
          <w:color w:val="000000" w:themeColor="text1"/>
          <w:kern w:val="2"/>
          <w:szCs w:val="24"/>
          <w:highlight w:val="none"/>
          <w14:textFill>
            <w14:solidFill>
              <w14:schemeClr w14:val="tx1"/>
            </w14:solidFill>
          </w14:textFill>
        </w:rPr>
        <w:t>端、平板端、客户端均可以所见即所得的查看在线场景、离线场景的画面布局、场景的实时画面，以及信号的实时画面；</w:t>
      </w:r>
    </w:p>
    <w:p w14:paraId="38D66FE0">
      <w:pPr>
        <w:pStyle w:val="41"/>
        <w:spacing w:line="360" w:lineRule="auto"/>
        <w:ind w:firstLine="482" w:firstLineChars="200"/>
        <w:rPr>
          <w:color w:val="000000" w:themeColor="text1"/>
          <w:kern w:val="2"/>
          <w:szCs w:val="24"/>
          <w:highlight w:val="none"/>
          <w14:textFill>
            <w14:solidFill>
              <w14:schemeClr w14:val="tx1"/>
            </w14:solidFill>
          </w14:textFill>
        </w:rPr>
      </w:pPr>
      <w:r>
        <w:rPr>
          <w:rFonts w:hint="eastAsia"/>
          <w:b/>
          <w:color w:val="000000" w:themeColor="text1"/>
          <w:kern w:val="2"/>
          <w:szCs w:val="24"/>
          <w:highlight w:val="none"/>
          <w14:textFill>
            <w14:solidFill>
              <w14:schemeClr w14:val="tx1"/>
            </w14:solidFill>
          </w14:textFill>
        </w:rPr>
        <w:t>支持控制大屏开机、关机、除湿、设置高性能</w:t>
      </w:r>
      <w:r>
        <w:rPr>
          <w:b/>
          <w:color w:val="000000" w:themeColor="text1"/>
          <w:kern w:val="2"/>
          <w:szCs w:val="24"/>
          <w:highlight w:val="none"/>
          <w14:textFill>
            <w14:solidFill>
              <w14:schemeClr w14:val="tx1"/>
            </w14:solidFill>
          </w14:textFill>
        </w:rPr>
        <w:t>/</w:t>
      </w:r>
      <w:r>
        <w:rPr>
          <w:rFonts w:hint="eastAsia"/>
          <w:b/>
          <w:color w:val="000000" w:themeColor="text1"/>
          <w:kern w:val="2"/>
          <w:szCs w:val="24"/>
          <w:highlight w:val="none"/>
          <w14:textFill>
            <w14:solidFill>
              <w14:schemeClr w14:val="tx1"/>
            </w14:solidFill>
          </w14:textFill>
        </w:rPr>
        <w:t>常规</w:t>
      </w:r>
      <w:r>
        <w:rPr>
          <w:b/>
          <w:color w:val="000000" w:themeColor="text1"/>
          <w:kern w:val="2"/>
          <w:szCs w:val="24"/>
          <w:highlight w:val="none"/>
          <w14:textFill>
            <w14:solidFill>
              <w14:schemeClr w14:val="tx1"/>
            </w14:solidFill>
          </w14:textFill>
        </w:rPr>
        <w:t>/</w:t>
      </w:r>
      <w:r>
        <w:rPr>
          <w:rFonts w:hint="eastAsia"/>
          <w:b/>
          <w:color w:val="000000" w:themeColor="text1"/>
          <w:kern w:val="2"/>
          <w:szCs w:val="24"/>
          <w:highlight w:val="none"/>
          <w14:textFill>
            <w14:solidFill>
              <w14:schemeClr w14:val="tx1"/>
            </w14:solidFill>
          </w14:textFill>
        </w:rPr>
        <w:t>节能</w:t>
      </w:r>
      <w:r>
        <w:rPr>
          <w:b/>
          <w:color w:val="000000" w:themeColor="text1"/>
          <w:kern w:val="2"/>
          <w:szCs w:val="24"/>
          <w:highlight w:val="none"/>
          <w14:textFill>
            <w14:solidFill>
              <w14:schemeClr w14:val="tx1"/>
            </w14:solidFill>
          </w14:textFill>
        </w:rPr>
        <w:t>/HDR</w:t>
      </w:r>
      <w:r>
        <w:rPr>
          <w:rFonts w:hint="eastAsia"/>
          <w:b/>
          <w:color w:val="000000" w:themeColor="text1"/>
          <w:kern w:val="2"/>
          <w:szCs w:val="24"/>
          <w:highlight w:val="none"/>
          <w14:textFill>
            <w14:solidFill>
              <w14:schemeClr w14:val="tx1"/>
            </w14:solidFill>
          </w14:textFill>
        </w:rPr>
        <w:t>等模式、设置标准</w:t>
      </w:r>
      <w:r>
        <w:rPr>
          <w:b/>
          <w:color w:val="000000" w:themeColor="text1"/>
          <w:kern w:val="2"/>
          <w:szCs w:val="24"/>
          <w:highlight w:val="none"/>
          <w14:textFill>
            <w14:solidFill>
              <w14:schemeClr w14:val="tx1"/>
            </w14:solidFill>
          </w14:textFill>
        </w:rPr>
        <w:t>/</w:t>
      </w:r>
      <w:r>
        <w:rPr>
          <w:rFonts w:hint="eastAsia"/>
          <w:b/>
          <w:color w:val="000000" w:themeColor="text1"/>
          <w:kern w:val="2"/>
          <w:szCs w:val="24"/>
          <w:highlight w:val="none"/>
          <w14:textFill>
            <w14:solidFill>
              <w14:schemeClr w14:val="tx1"/>
            </w14:solidFill>
          </w14:textFill>
        </w:rPr>
        <w:t>冷色</w:t>
      </w:r>
      <w:r>
        <w:rPr>
          <w:b/>
          <w:color w:val="000000" w:themeColor="text1"/>
          <w:kern w:val="2"/>
          <w:szCs w:val="24"/>
          <w:highlight w:val="none"/>
          <w14:textFill>
            <w14:solidFill>
              <w14:schemeClr w14:val="tx1"/>
            </w14:solidFill>
          </w14:textFill>
        </w:rPr>
        <w:t>/</w:t>
      </w:r>
      <w:r>
        <w:rPr>
          <w:rFonts w:hint="eastAsia"/>
          <w:b/>
          <w:color w:val="000000" w:themeColor="text1"/>
          <w:kern w:val="2"/>
          <w:szCs w:val="24"/>
          <w:highlight w:val="none"/>
          <w14:textFill>
            <w14:solidFill>
              <w14:schemeClr w14:val="tx1"/>
            </w14:solidFill>
          </w14:textFill>
        </w:rPr>
        <w:t>暖色</w:t>
      </w:r>
      <w:r>
        <w:rPr>
          <w:b/>
          <w:color w:val="000000" w:themeColor="text1"/>
          <w:kern w:val="2"/>
          <w:szCs w:val="24"/>
          <w:highlight w:val="none"/>
          <w14:textFill>
            <w14:solidFill>
              <w14:schemeClr w14:val="tx1"/>
            </w14:solidFill>
          </w14:textFill>
        </w:rPr>
        <w:t>/</w:t>
      </w:r>
      <w:r>
        <w:rPr>
          <w:rFonts w:hint="eastAsia"/>
          <w:b/>
          <w:color w:val="000000" w:themeColor="text1"/>
          <w:kern w:val="2"/>
          <w:szCs w:val="24"/>
          <w:highlight w:val="none"/>
          <w14:textFill>
            <w14:solidFill>
              <w14:schemeClr w14:val="tx1"/>
            </w14:solidFill>
          </w14:textFill>
        </w:rPr>
        <w:t>自定义色温、设置亮度、护眼模式、监控模式、会议模式等智能控制功能。</w:t>
      </w:r>
    </w:p>
    <w:p w14:paraId="16A78452">
      <w:pPr>
        <w:pStyle w:val="41"/>
        <w:spacing w:line="360" w:lineRule="auto"/>
        <w:ind w:firstLine="480" w:firstLineChars="200"/>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支持多用户登录，用户数量无限制，多用户操作同步实现多人协同办公，操作同步显示；支持权限管理设置，可以创建多种用户角色，针对不同的用户角色可分配不同的组织权限、屏幕墙操控管理权限，支持角色分组，实现系统的多级分组管理。</w:t>
      </w:r>
    </w:p>
    <w:p w14:paraId="7BFA8F46">
      <w:pPr>
        <w:pStyle w:val="41"/>
        <w:spacing w:line="360" w:lineRule="auto"/>
        <w:ind w:firstLine="480" w:firstLineChars="200"/>
        <w:rPr>
          <w:rFonts w:hint="eastAsia"/>
          <w:color w:val="000000" w:themeColor="text1"/>
          <w:kern w:val="2"/>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支持对拼控大屏创建场景、修改、删除、重命名、复制、关联中控模式、移动场景分组、调整场景顺序、锁定场景布局、播放场景、搜索场景等，并且场景数量无限制；场景列表中可显示场景播放状态、锁定状态。支持对拼控大屏添加、删除、重命名场景</w:t>
      </w:r>
      <w:r>
        <w:rPr>
          <w:rFonts w:hint="eastAsia"/>
          <w:color w:val="000000" w:themeColor="text1"/>
          <w:kern w:val="2"/>
          <w:szCs w:val="24"/>
          <w:highlight w:val="none"/>
          <w14:textFill>
            <w14:solidFill>
              <w14:schemeClr w14:val="tx1"/>
            </w14:solidFill>
          </w14:textFill>
        </w:rPr>
        <w:t>分组，场景分组数量无限制，可在场景分组下创建指定的场景。</w:t>
      </w:r>
    </w:p>
    <w:p w14:paraId="65CBAB2D">
      <w:pPr>
        <w:pStyle w:val="41"/>
        <w:spacing w:line="360" w:lineRule="auto"/>
        <w:ind w:firstLine="480" w:firstLineChars="200"/>
        <w:rPr>
          <w:rFonts w:hint="default" w:eastAsia="宋体"/>
          <w:color w:val="000000" w:themeColor="text1"/>
          <w:kern w:val="2"/>
          <w:szCs w:val="24"/>
          <w:highlight w:val="none"/>
          <w:lang w:val="en-US" w:eastAsia="zh-CN"/>
          <w14:textFill>
            <w14:solidFill>
              <w14:schemeClr w14:val="tx1"/>
            </w14:solidFill>
          </w14:textFill>
        </w:rPr>
      </w:pPr>
      <w:r>
        <w:rPr>
          <w:rFonts w:hint="eastAsia"/>
          <w:color w:val="000000" w:themeColor="text1"/>
          <w:kern w:val="2"/>
          <w:szCs w:val="24"/>
          <w:highlight w:val="none"/>
          <w:lang w:val="en-US" w:eastAsia="zh-CN"/>
          <w14:textFill>
            <w14:solidFill>
              <w14:schemeClr w14:val="tx1"/>
            </w14:solidFill>
          </w14:textFill>
        </w:rPr>
        <w:t>投标人应另提供一台主流配置的笔记本电脑，用于大屏调试、远程访问控制软件一体机进行日常维护大屏各个接入系统的调整。</w:t>
      </w:r>
    </w:p>
    <w:p w14:paraId="769FBA71">
      <w:pPr>
        <w:keepNext/>
        <w:keepLines/>
        <w:autoSpaceDE w:val="0"/>
        <w:autoSpaceDN w:val="0"/>
        <w:adjustRightInd w:val="0"/>
        <w:spacing w:before="0" w:after="0" w:line="360" w:lineRule="auto"/>
        <w:textAlignment w:val="baseline"/>
        <w:outlineLvl w:val="9"/>
        <w:rPr>
          <w:rFonts w:hint="eastAsia" w:ascii="宋体" w:hAnsi="宋体" w:eastAsia="宋体" w:cs="宋体"/>
          <w:b/>
          <w:color w:val="000000"/>
          <w:spacing w:val="0"/>
          <w:kern w:val="44"/>
          <w:sz w:val="24"/>
          <w:szCs w:val="24"/>
          <w:highlight w:val="none"/>
        </w:rPr>
      </w:pPr>
      <w:r>
        <w:rPr>
          <w:rFonts w:hint="eastAsia" w:ascii="宋体" w:hAnsi="宋体" w:cs="宋体"/>
          <w:b/>
          <w:color w:val="000000"/>
          <w:spacing w:val="0"/>
          <w:kern w:val="44"/>
          <w:sz w:val="24"/>
          <w:szCs w:val="24"/>
          <w:highlight w:val="none"/>
          <w:lang w:val="en-US" w:eastAsia="zh-CN"/>
        </w:rPr>
        <w:t>4.5.5</w:t>
      </w:r>
      <w:r>
        <w:rPr>
          <w:rFonts w:hint="eastAsia" w:ascii="宋体" w:hAnsi="宋体" w:eastAsia="宋体" w:cs="宋体"/>
          <w:b/>
          <w:color w:val="000000"/>
          <w:spacing w:val="0"/>
          <w:kern w:val="44"/>
          <w:sz w:val="24"/>
          <w:szCs w:val="24"/>
          <w:highlight w:val="none"/>
        </w:rPr>
        <w:t xml:space="preserve"> 控制台</w:t>
      </w:r>
    </w:p>
    <w:p w14:paraId="0E6B5FF2">
      <w:pPr>
        <w:spacing w:line="360" w:lineRule="auto"/>
        <w:ind w:firstLine="0" w:firstLineChars="0"/>
        <w:rPr>
          <w:rFonts w:hint="eastAsia" w:ascii="宋体" w:hAnsi="宋体" w:eastAsia="宋体" w:cs="宋体"/>
          <w:b/>
          <w:bCs/>
          <w:color w:val="000000"/>
          <w:spacing w:val="-4"/>
          <w:sz w:val="24"/>
          <w:szCs w:val="24"/>
          <w:highlight w:val="none"/>
        </w:rPr>
      </w:pPr>
      <w:r>
        <w:rPr>
          <w:rFonts w:hint="eastAsia" w:ascii="宋体" w:hAnsi="宋体" w:cs="宋体"/>
          <w:b/>
          <w:bCs/>
          <w:color w:val="000000"/>
          <w:spacing w:val="-4"/>
          <w:sz w:val="24"/>
          <w:szCs w:val="24"/>
          <w:highlight w:val="none"/>
          <w:lang w:val="en-US" w:eastAsia="zh-CN"/>
        </w:rPr>
        <w:t>4.5.5.1</w:t>
      </w:r>
      <w:r>
        <w:rPr>
          <w:rFonts w:hint="eastAsia" w:ascii="宋体" w:hAnsi="宋体" w:eastAsia="宋体" w:cs="宋体"/>
          <w:b/>
          <w:bCs/>
          <w:color w:val="000000"/>
          <w:spacing w:val="-4"/>
          <w:sz w:val="24"/>
          <w:szCs w:val="24"/>
          <w:highlight w:val="none"/>
          <w:lang w:val="en-US" w:eastAsia="zh-CN"/>
        </w:rPr>
        <w:t xml:space="preserve"> </w:t>
      </w:r>
      <w:r>
        <w:rPr>
          <w:rFonts w:hint="eastAsia" w:ascii="宋体" w:hAnsi="宋体" w:eastAsia="宋体" w:cs="宋体"/>
          <w:b/>
          <w:bCs/>
          <w:color w:val="000000"/>
          <w:spacing w:val="-4"/>
          <w:sz w:val="24"/>
          <w:szCs w:val="24"/>
          <w:highlight w:val="none"/>
        </w:rPr>
        <w:t>控制台</w:t>
      </w:r>
      <w:r>
        <w:rPr>
          <w:rFonts w:hint="eastAsia" w:ascii="宋体" w:hAnsi="宋体" w:eastAsia="宋体" w:cs="宋体"/>
          <w:b/>
          <w:bCs/>
          <w:color w:val="000000"/>
          <w:spacing w:val="-4"/>
          <w:sz w:val="24"/>
          <w:szCs w:val="24"/>
          <w:highlight w:val="none"/>
          <w:lang w:eastAsia="zh-CN"/>
        </w:rPr>
        <w:t>总体</w:t>
      </w:r>
      <w:r>
        <w:rPr>
          <w:rFonts w:hint="eastAsia" w:ascii="宋体" w:hAnsi="宋体" w:eastAsia="宋体" w:cs="宋体"/>
          <w:b/>
          <w:bCs/>
          <w:color w:val="000000"/>
          <w:spacing w:val="-4"/>
          <w:sz w:val="24"/>
          <w:szCs w:val="24"/>
          <w:highlight w:val="none"/>
        </w:rPr>
        <w:t>要求</w:t>
      </w:r>
    </w:p>
    <w:p w14:paraId="7773E18C">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本项目需要设计、配置、提供和安装一整套符合本项目需求的控制台系统及配套附材所必需设备，控制台需采用高档专业控制台产品，具备先进的人机工学产品设计，执行国际顶尖环保标准。</w:t>
      </w:r>
    </w:p>
    <w:p w14:paraId="11F3713E">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本项目所采用的所有产品应具备整体的先进性和产品的成熟性，配置的合理性，产品使用的高可靠性和稳定性，产品可扩充性和可升级性，整体产品的开放性，且具备较高的环保和美观特性。</w:t>
      </w:r>
    </w:p>
    <w:p w14:paraId="7BFB9DC7">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控制台系统提供方需要考虑的因素包括：</w:t>
      </w:r>
    </w:p>
    <w:p w14:paraId="29094762">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（1）</w:t>
      </w:r>
      <w:r>
        <w:rPr>
          <w:rFonts w:hint="eastAsia" w:ascii="宋体" w:hAnsi="宋体" w:eastAsia="宋体" w:cs="宋体"/>
          <w:b w:val="0"/>
          <w:bCs w:val="0"/>
          <w:color w:val="000000"/>
          <w:sz w:val="24"/>
          <w:szCs w:val="24"/>
          <w:highlight w:val="none"/>
        </w:rPr>
        <w:t>工作人员的所有操作对象</w:t>
      </w:r>
    </w:p>
    <w:p w14:paraId="3745C844">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键盘、电话、鼠标、显示器、笔架、文件柜需要确定合理安装位置，使用操作方便、位置布局合理，并且达到长时间工作不感到疲惫。</w:t>
      </w:r>
    </w:p>
    <w:p w14:paraId="0795F5D2">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可调整性</w:t>
      </w:r>
    </w:p>
    <w:p w14:paraId="6869A1E4">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工作人员需要长时间在固定环境工作，设备供应方应认真考虑控制台的高度、座位的结构，工作灯的亮度调节等因素。</w:t>
      </w:r>
    </w:p>
    <w:p w14:paraId="2F62D6AF">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结构布局</w:t>
      </w:r>
    </w:p>
    <w:p w14:paraId="7361FA48">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房间的结构布局因素，要求考虑工作人员的观看大屏幕的视线良好，同时确保工作人员人与人之间有合理的间距。控制台的设计一方面必须满足工作站环境中的功能性、人体工程学和美学的要求，同时还应符合目视距离、角度、键盘高度可调和膝位、脚部空间等相关人体工程学和人性因素设计的要求。</w:t>
      </w:r>
    </w:p>
    <w:p w14:paraId="5A1E7BC9">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参观人员路线</w:t>
      </w:r>
    </w:p>
    <w:p w14:paraId="65C29534">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参观人员有良好的路径，同时也不要影响工作人员的工作。</w:t>
      </w:r>
    </w:p>
    <w:p w14:paraId="24AC40FF">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人体工学</w:t>
      </w:r>
    </w:p>
    <w:p w14:paraId="3DF33BCB">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控制台在提供最大的自由度及实用性的同时必须遵循人体工学设计规则、符合安全规范。</w:t>
      </w:r>
    </w:p>
    <w:p w14:paraId="01628D5C">
      <w:pPr>
        <w:spacing w:line="360" w:lineRule="auto"/>
        <w:ind w:left="0" w:leftChars="0"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6</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产品测试标准</w:t>
      </w:r>
    </w:p>
    <w:p w14:paraId="40954158">
      <w:pPr>
        <w:spacing w:line="360" w:lineRule="auto"/>
        <w:ind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控制台应满足严格的产品物理化学测试标准、需具备权威环保测试认证证书。</w:t>
      </w:r>
      <w:bookmarkStart w:id="25" w:name="_Toc185349791"/>
      <w:bookmarkStart w:id="26" w:name="_Toc185352883"/>
      <w:bookmarkStart w:id="27" w:name="_Toc414651595"/>
      <w:bookmarkStart w:id="28" w:name="_Toc402791937"/>
      <w:bookmarkStart w:id="29" w:name="_Toc185351965"/>
      <w:bookmarkStart w:id="30" w:name="_Toc148956081"/>
      <w:bookmarkStart w:id="31" w:name="_Toc395228697"/>
    </w:p>
    <w:bookmarkEnd w:id="25"/>
    <w:bookmarkEnd w:id="26"/>
    <w:bookmarkEnd w:id="27"/>
    <w:bookmarkEnd w:id="28"/>
    <w:bookmarkEnd w:id="29"/>
    <w:bookmarkEnd w:id="30"/>
    <w:bookmarkEnd w:id="31"/>
    <w:p w14:paraId="7BF9CD42">
      <w:pPr>
        <w:autoSpaceDE/>
        <w:autoSpaceDN/>
        <w:spacing w:before="0" w:after="0" w:line="360" w:lineRule="auto"/>
        <w:outlineLvl w:val="9"/>
        <w:rPr>
          <w:rFonts w:hint="eastAsia" w:ascii="宋体" w:hAnsi="宋体" w:eastAsia="宋体" w:cs="宋体"/>
          <w:b/>
          <w:bCs/>
          <w:kern w:val="44"/>
          <w:sz w:val="24"/>
          <w:szCs w:val="24"/>
          <w:highlight w:val="none"/>
        </w:rPr>
      </w:pPr>
      <w:r>
        <w:rPr>
          <w:rFonts w:hint="eastAsia" w:ascii="宋体" w:hAnsi="宋体" w:cs="宋体"/>
          <w:b/>
          <w:bCs/>
          <w:color w:val="000000"/>
          <w:spacing w:val="-4"/>
          <w:sz w:val="24"/>
          <w:szCs w:val="24"/>
          <w:highlight w:val="none"/>
          <w:lang w:val="en-US" w:eastAsia="zh-CN"/>
        </w:rPr>
        <w:t>4.5.5.2</w:t>
      </w:r>
      <w:r>
        <w:rPr>
          <w:rFonts w:hint="eastAsia" w:ascii="宋体" w:hAnsi="宋体" w:eastAsia="宋体" w:cs="宋体"/>
          <w:b/>
          <w:bCs/>
          <w:spacing w:val="0"/>
          <w:kern w:val="44"/>
          <w:sz w:val="24"/>
          <w:szCs w:val="24"/>
          <w:highlight w:val="none"/>
          <w:lang w:val="en-US" w:eastAsia="zh-CN"/>
        </w:rPr>
        <w:t xml:space="preserve"> </w:t>
      </w:r>
      <w:r>
        <w:rPr>
          <w:rFonts w:hint="eastAsia" w:ascii="宋体" w:hAnsi="宋体" w:eastAsia="宋体" w:cs="宋体"/>
          <w:b/>
          <w:bCs/>
          <w:color w:val="000000"/>
          <w:kern w:val="44"/>
          <w:sz w:val="24"/>
          <w:szCs w:val="24"/>
          <w:highlight w:val="none"/>
        </w:rPr>
        <w:t>控制台技术要求</w:t>
      </w:r>
    </w:p>
    <w:p w14:paraId="1313B724">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需要提供针对本项目的详细的项目设计平面图纸、三维立体布局图纸、整体效果图等图纸。同时考虑控制台系统与工作人员日常大屏幕的监控紧密度和关联性，投标人在投标文件中必须结合大屏幕的设计提供合理专业的工作人员使用操作控制台的视角分析图及说明。</w:t>
      </w:r>
    </w:p>
    <w:p w14:paraId="64C41AA3">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控制台由专业团队进行设计和生产，具有美观、大气、简捷、实用的特点。台面和钣金具有多种颜色可选搭配，整体外观除可快速更换的个人强弱电面板的固定螺丝以外不应有镙钉、铆钉眼出现。</w:t>
      </w:r>
    </w:p>
    <w:p w14:paraId="5D889023">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应满足指挥中心环境中的功能性和美学设计要求，同时还应符合目视距离、角度、键盘高度和膝位空间等相关人体工程学和人性因素设计的要求。考虑到工作人员工作的舒适度，在控制台直排造型宽度不大于920mm的前提下，控制台台面下墙体内盖板距离台面边缘的距离（容腿空间）不小于720mm，满足人机工程学上对容腿空间的需求。提供控制台产品侧视图纸并标注尺寸作为证明文件，同时作为验收依据。</w:t>
      </w:r>
    </w:p>
    <w:p w14:paraId="73C803D4">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从环保、散热以及稳定性考量，控制台除台面和承载墙挂载面板外，应全部采用16-18Gauge（1.2mm-1.4mm）的优质冷轧钢板，并配合流线型、模块化设计，安全美观，满足7*24小时工作需要。控制台的钣金面板、盖板的边缘均采用专业的圆角防撞设计，提供实物照片和说明。主梁≮2.0mm、副梁厚度≮1.5mm，采用焊接拼接，</w:t>
      </w:r>
      <w:r>
        <w:rPr>
          <w:rFonts w:hint="eastAsia" w:ascii="宋体" w:hAnsi="宋体" w:eastAsia="宋体" w:cs="宋体"/>
          <w:b w:val="0"/>
          <w:bCs w:val="0"/>
          <w:color w:val="000000"/>
          <w:kern w:val="44"/>
          <w:sz w:val="24"/>
          <w:szCs w:val="24"/>
          <w:highlight w:val="none"/>
          <w:lang w:val="en-US" w:eastAsia="zh-CN"/>
        </w:rPr>
        <w:t>操作台主副梁材料应符合GB/T 3325-2024《金属家具通用技术条件》</w:t>
      </w:r>
      <w:r>
        <w:rPr>
          <w:rFonts w:hint="eastAsia" w:ascii="宋体" w:hAnsi="宋体" w:eastAsia="宋体" w:cs="宋体"/>
          <w:b w:val="0"/>
          <w:bCs w:val="0"/>
          <w:color w:val="000000"/>
          <w:kern w:val="44"/>
          <w:sz w:val="24"/>
          <w:szCs w:val="24"/>
          <w:highlight w:val="none"/>
          <w:lang w:val="en-US" w:eastAsia="zh-CN" w:bidi="ar-SA"/>
        </w:rPr>
        <w:t>。</w:t>
      </w:r>
    </w:p>
    <w:p w14:paraId="7252A3DD">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应充分考虑设备的可接入性，便于安装、操作和维护，同时应确保长期稳定性，控制台各部位的面板、盖板均应采用搭扣式连接，不应使用容易变形的铰链连接，所有的面板、盖板均可不借助工具方便的取下，提供最佳的可接入性。操作台背面后盖板，全钣金搭扣式的，其中有激光孔，后盖板打开后，里面有专业的走线，和存放主机等很多设备，便于内部设备的安装和维护，提供面板搭扣式连接的设计图纸、实物照片和说明。控制台应定制符合</w:t>
      </w:r>
      <w:r>
        <w:rPr>
          <w:rFonts w:hint="eastAsia" w:ascii="宋体" w:hAnsi="宋体" w:cs="宋体"/>
          <w:b w:val="0"/>
          <w:bCs w:val="0"/>
          <w:color w:val="000000"/>
          <w:kern w:val="44"/>
          <w:sz w:val="24"/>
          <w:szCs w:val="24"/>
          <w:highlight w:val="none"/>
          <w:lang w:val="en-US" w:eastAsia="zh-CN" w:bidi="ar-SA"/>
        </w:rPr>
        <w:t>招标人</w:t>
      </w:r>
      <w:r>
        <w:rPr>
          <w:rFonts w:hint="eastAsia" w:ascii="宋体" w:hAnsi="宋体" w:eastAsia="宋体" w:cs="宋体"/>
          <w:b w:val="0"/>
          <w:bCs w:val="0"/>
          <w:color w:val="000000"/>
          <w:kern w:val="44"/>
          <w:sz w:val="24"/>
          <w:szCs w:val="24"/>
          <w:highlight w:val="none"/>
          <w:lang w:val="en-US" w:eastAsia="zh-CN" w:bidi="ar-SA"/>
        </w:rPr>
        <w:t>需求的电话支架、硬手操安装位置、其他按钮等，尽量都收纳整齐，最大程度的解放台面。</w:t>
      </w:r>
    </w:p>
    <w:p w14:paraId="75CE8619">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控制台整体具有GreenGuard GOLD 绿色卫士金标环保认证证书，证书必须在有效期内，提供证书复印件（标示出产品系列和证书有效期）以及官网查询界面截图。</w:t>
      </w:r>
    </w:p>
    <w:p w14:paraId="6A2F6814">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控制台整体具有中国环境产品认证证书，证书必须在有效期内，提供证书复印件。</w:t>
      </w:r>
    </w:p>
    <w:p w14:paraId="58AB5D7C">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整体具有国际权威机构SGS出具的物理测试报告和化学测试报告，测试方法应满足BIFMA标准，物理报告应至少包括垂直加载稳定性，强度测试，轻放循环测试，台/桌的跌落测试，腿部强度和高台/桌类产品的分离测试；化学测试报告中，其中72小时5m³测试舱浓度甲醛≤0.01mg/m³，提供的检测报告复印件应框出相关指标，便于招标人核实。</w:t>
      </w:r>
    </w:p>
    <w:p w14:paraId="5275DCBA">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整体的品质应确保长期一致性，投标人需提供近三年至少一个已供货项目由国际权威机构SGS出具的设备抽样检测报告，检测报告需具有具体项目名称，并提供该项目的合同扫描件作为对照证明文件，检测报告为可挥发性有机物释放量检测，其中72小时5m³测试舱浓度甲醛≤0.01mg/m³，提供的检测报告和合同复印件应框出相关指标，便于招标人核实。</w:t>
      </w:r>
    </w:p>
    <w:p w14:paraId="12E4AA3E">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墙体内配置专业的线缆管理系统，能将强弱电有效的分类管理，确保线缆之间无干扰的同时方便了对于日常线缆的维护，控制台内部应自带3层水平线槽及2层垂直线槽，不能采用外装线槽或桥架。投标人在投标文件中必须提供设计图纸、实物照片和说明。</w:t>
      </w:r>
    </w:p>
    <w:p w14:paraId="1683D337">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控制台墙体内具有专业的设备管理系统，应提供各类不同设备的承载放置方案，提供KVM节点、PC主机、网络配线架、光纤配线架、STS切换器等设备安装方案，投标人在投标文件中必须提供实物照片和说明。</w:t>
      </w:r>
    </w:p>
    <w:p w14:paraId="5D0D3096">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控制台内部应具有专业化的接地线桩设计，既具有接地保护设备功能，还具有对控制台的水平面进行微调功能。</w:t>
      </w:r>
    </w:p>
    <w:p w14:paraId="3A1639EC">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具有专业的自然循环散热功能，不依靠任何内置散热风扇等设备，其本身就具有自动吸入式循环散热功能。墙体设备存放空间的外盖板和承载墙顶盖板具有密集的均匀的直径不大于2mm通风圆孔，孔距（圆心之间的距离）不超过4mm。顶盖板通风孔面积不小于盖板的1/3，外盖板通风孔面积不小于外盖板的1/2，提供满足实物照片（放卷尺测量）和说明。提供热力学温度场四面测试文件作为证明文件。</w:t>
      </w:r>
    </w:p>
    <w:p w14:paraId="6A3805D0">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配置专业承载墙，高度300mm，厚度不小于170mm，内部可走线或放置小型设备，具有7格铝型材凹槽挂载面，可以挂载显示器支臂，承载墙底部具有专用翻转盖板走线设计以及个人强弱电专用接口专用区域，投标人在投标文件中必须提供实物照片（放卷尺测量）和说明。</w:t>
      </w:r>
    </w:p>
    <w:p w14:paraId="248D082C">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每个席位的承载墙两侧，可以选择安装强电和弱电接口面板，要求安全美观，无裸露线缆，方便值班人员临时取电和数据维护。强弱电的接口面板需与台面垂直，充分避免遇水短路的风险，不应使用台面开孔信息盒或者大小面板设计、将强弱电隐藏于小面板下方，不能占用承载墙轨道区域，投标人在投标文件中必须提供实物照片和说明。</w:t>
      </w:r>
    </w:p>
    <w:p w14:paraId="5981115D">
      <w:pPr>
        <w:autoSpaceDE/>
        <w:autoSpaceDN/>
        <w:adjustRightInd/>
        <w:spacing w:line="360" w:lineRule="auto"/>
        <w:ind w:firstLine="480" w:firstLineChars="200"/>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显示器支臂经久耐用。支臂采用气压调节机构，调整完成后，支持显示器任意位置悬停，支臂可以挂载在承载墙上，可以自由调节前后、上下、显示器倾仰。</w:t>
      </w:r>
    </w:p>
    <w:p w14:paraId="41EF2DE3">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rPr>
      </w:pPr>
      <w:r>
        <w:rPr>
          <w:rFonts w:hint="eastAsia" w:ascii="宋体" w:hAnsi="宋体" w:eastAsia="宋体" w:cs="宋体"/>
          <w:b w:val="0"/>
          <w:bCs w:val="0"/>
          <w:color w:val="000000"/>
          <w:kern w:val="44"/>
          <w:sz w:val="24"/>
          <w:szCs w:val="24"/>
          <w:highlight w:val="none"/>
          <w:lang w:val="en-US" w:eastAsia="zh-CN" w:bidi="ar-SA"/>
        </w:rPr>
        <w:t>控制台台面保持平滑及水平，并要考虑到人体工学的标准，包括视线，延伸距离，键盘高度，及膝部的空间。工作台面的高度在地面以上750~800 mm某一固定值（与老厂一致），并有校平器来调整。工作台面的表面覆盖层应采用具有耐热、耐烟灼、耐撞击、耐潮湿、防水、耐腐蚀的高强度的知名品牌高压耐磨防火板。工作台面的边缘外层采用耐冲击具有相当牢度的柔性PVC材料，牢固固定，具有坡型和半圆形可选，使工作人员手臂接触时具有舒适感，控制台台面整体厚度一致，保持在30mm厚度。</w:t>
      </w:r>
    </w:p>
    <w:p w14:paraId="43E26927">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控制台整机具有阻燃设计，整机符合阻燃1级，一氧化碳和二氧化碳浓度均小于100PPM。</w:t>
      </w:r>
    </w:p>
    <w:p w14:paraId="069BF6DF">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应是标准化设计，同时还必须易于更新和结构变形，具有“百变造型，重构服务”的功能，可以灵活地应对人员席位的增加、减少或场地改换的需求。通过特殊的模块化的不同角度的连接柱结构，能为用户带来灵活的、便捷的、最节省成本的重新组合设计方式，持久的满足用户的需求。</w:t>
      </w:r>
    </w:p>
    <w:p w14:paraId="0CDF6979">
      <w:pPr>
        <w:autoSpaceDE/>
        <w:autoSpaceDN/>
        <w:adjustRightInd/>
        <w:spacing w:line="360" w:lineRule="auto"/>
        <w:ind w:firstLine="480" w:firstLineChars="200"/>
        <w:textAlignment w:val="auto"/>
        <w:outlineLvl w:val="9"/>
        <w:rPr>
          <w:rFonts w:hint="eastAsia" w:ascii="宋体" w:hAnsi="宋体" w:eastAsia="宋体" w:cs="宋体"/>
          <w:b w:val="0"/>
          <w:bCs w:val="0"/>
          <w:spacing w:val="0"/>
          <w:kern w:val="44"/>
          <w:sz w:val="24"/>
          <w:szCs w:val="24"/>
          <w:highlight w:val="none"/>
        </w:rPr>
      </w:pPr>
      <w:r>
        <w:rPr>
          <w:rFonts w:hint="eastAsia" w:ascii="宋体" w:hAnsi="宋体" w:eastAsia="宋体" w:cs="宋体"/>
          <w:b w:val="0"/>
          <w:bCs w:val="0"/>
          <w:color w:val="000000"/>
          <w:kern w:val="44"/>
          <w:sz w:val="24"/>
          <w:szCs w:val="24"/>
          <w:highlight w:val="none"/>
          <w:lang w:val="en-US" w:eastAsia="zh-CN" w:bidi="ar-SA"/>
        </w:rPr>
        <w:t>控制台支持配置个人环境系统模块，个人环境管理系统应与控制台集成为一体，模块化安装，不占用工作台面空间，提供个人环境系统控制软件软件著作权证书复印件、实物照片。</w:t>
      </w:r>
    </w:p>
    <w:p w14:paraId="4994310A">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snapToGrid/>
          <w:color w:val="000000"/>
          <w:spacing w:val="0"/>
          <w:kern w:val="44"/>
          <w:sz w:val="24"/>
          <w:szCs w:val="24"/>
          <w:highlight w:val="none"/>
        </w:rPr>
        <w:t>控制台支持配置一体化指挥管理平台模块</w:t>
      </w:r>
      <w:r>
        <w:rPr>
          <w:rFonts w:hint="eastAsia" w:ascii="宋体" w:hAnsi="宋体" w:eastAsia="宋体" w:cs="宋体"/>
          <w:b w:val="0"/>
          <w:bCs w:val="0"/>
          <w:color w:val="000000"/>
          <w:kern w:val="44"/>
          <w:sz w:val="24"/>
          <w:szCs w:val="24"/>
          <w:highlight w:val="none"/>
          <w:lang w:val="en-US" w:eastAsia="zh-CN" w:bidi="ar-SA"/>
        </w:rPr>
        <w:t>。</w:t>
      </w:r>
    </w:p>
    <w:p w14:paraId="0A6D610D">
      <w:pPr>
        <w:adjustRightInd/>
        <w:spacing w:line="360" w:lineRule="auto"/>
        <w:ind w:firstLine="480" w:firstLineChars="200"/>
        <w:textAlignment w:val="auto"/>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控制台支持配置内部集成音频模块，支持席位声音通道管理，可实现多路声音源的选择性输出，无需外置挂载独立音箱，避免了外置音箱造成连接线缆杂乱的状况。</w:t>
      </w:r>
    </w:p>
    <w:p w14:paraId="77C83425">
      <w:p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控制台配套的人体工学椅技术要求如下：</w:t>
      </w:r>
    </w:p>
    <w:p w14:paraId="5C2E90AA">
      <w:pPr>
        <w:numPr>
          <w:ilvl w:val="0"/>
          <w:numId w:val="4"/>
        </w:num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头枕：3D超宽曲面头枕，够宽够大，肆意侧转，饱满的弧形曲面贴全头/颈曲线午休安稳入眠，舒缓轻松；</w:t>
      </w:r>
    </w:p>
    <w:p w14:paraId="639AD835">
      <w:pPr>
        <w:numPr>
          <w:ilvl w:val="0"/>
          <w:numId w:val="5"/>
        </w:num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椅背：背网进口科技网丝，支撑力有效提升，意大利进口植绒，柔顺更亲肤，透气耐磨，亲肤舒适，四档椅背升降，精准找到撑腰位；</w:t>
      </w:r>
    </w:p>
    <w:p w14:paraId="765A92CB">
      <w:pPr>
        <w:numPr>
          <w:ilvl w:val="0"/>
          <w:numId w:val="6"/>
        </w:numPr>
        <w:autoSpaceDE/>
        <w:autoSpaceDN/>
        <w:adjustRightInd/>
        <w:spacing w:line="360" w:lineRule="auto"/>
        <w:ind w:firstLine="480" w:firstLineChars="200"/>
        <w:textAlignment w:val="auto"/>
        <w:outlineLvl w:val="9"/>
        <w:rPr>
          <w:rFonts w:hint="eastAsia" w:ascii="宋体" w:hAnsi="宋体" w:eastAsia="宋体" w:cs="宋体"/>
          <w:b w:val="0"/>
          <w:bCs w:val="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腰靠:贴贴环抱腰枕，随动撑腰架构，四点联动随动撑腰，骶骨支撑。人体工学曲面设计，贴合人体腰椎生理曲线，带来舒适柔韧承托感；</w:t>
      </w:r>
    </w:p>
    <w:p w14:paraId="30A9A4FA">
      <w:pPr>
        <w:autoSpaceDE/>
        <w:autoSpaceDN/>
        <w:adjustRightInd/>
        <w:spacing w:line="360" w:lineRule="auto"/>
        <w:ind w:firstLine="480" w:firstLineChars="200"/>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（4）扶手:M10魔术臂支撑，220°旋转设计，释放更多手臂自由度，外旋180°内旋40°，立体旋转；更灵活，手臂始终有支撑不落空；</w:t>
      </w:r>
    </w:p>
    <w:p w14:paraId="435C1F76">
      <w:pPr>
        <w:autoSpaceDE/>
        <w:autoSpaceDN/>
        <w:adjustRightInd/>
        <w:spacing w:line="360" w:lineRule="auto"/>
        <w:ind w:firstLine="480" w:firstLineChars="200"/>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（5）座垫:进口科技网丝，支撑力有效提升缓解久坐压迫感，意大利进口植绒，柔顺更亲肤；</w:t>
      </w:r>
    </w:p>
    <w:p w14:paraId="2930480C">
      <w:pPr>
        <w:autoSpaceDE/>
        <w:autoSpaceDN/>
        <w:adjustRightInd/>
        <w:spacing w:line="360" w:lineRule="auto"/>
        <w:ind w:firstLine="480" w:firstLineChars="200"/>
        <w:jc w:val="left"/>
        <w:textAlignment w:val="auto"/>
        <w:outlineLvl w:val="9"/>
        <w:rPr>
          <w:rFonts w:hint="eastAsia" w:ascii="宋体" w:hAnsi="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（6）底盘:线控四挡角度锁定，依据不同用户的体重，智能调节座椅倾仰支撑力的大小，摆脱传统底盘繁琐的调节机制</w:t>
      </w:r>
      <w:r>
        <w:rPr>
          <w:rFonts w:hint="eastAsia" w:ascii="宋体" w:hAnsi="宋体" w:cs="宋体"/>
          <w:b w:val="0"/>
          <w:bCs w:val="0"/>
          <w:color w:val="000000"/>
          <w:kern w:val="44"/>
          <w:sz w:val="24"/>
          <w:szCs w:val="24"/>
          <w:highlight w:val="none"/>
          <w:lang w:val="en-US" w:eastAsia="zh-CN" w:bidi="ar-SA"/>
        </w:rPr>
        <w:t>；</w:t>
      </w:r>
    </w:p>
    <w:p w14:paraId="53BEBBCE">
      <w:pPr>
        <w:autoSpaceDE/>
        <w:autoSpaceDN/>
        <w:adjustRightInd/>
        <w:spacing w:line="360" w:lineRule="auto"/>
        <w:ind w:firstLine="480" w:firstLineChars="200"/>
        <w:jc w:val="left"/>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（7）搁脚:隐藏设计，海绵软垫材质，灵活拉伸，舒适午休；</w:t>
      </w:r>
    </w:p>
    <w:p w14:paraId="0DBE469D">
      <w:pPr>
        <w:autoSpaceDE/>
        <w:autoSpaceDN/>
        <w:adjustRightInd/>
        <w:spacing w:line="360" w:lineRule="auto"/>
        <w:ind w:firstLine="480" w:firstLineChars="200"/>
        <w:jc w:val="left"/>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（8）气杆:采用三弘四级防爆气杆，安全可靠；</w:t>
      </w:r>
    </w:p>
    <w:p w14:paraId="484EA04B">
      <w:pPr>
        <w:autoSpaceDE/>
        <w:autoSpaceDN/>
        <w:adjustRightInd/>
        <w:spacing w:line="360" w:lineRule="auto"/>
        <w:ind w:firstLine="480" w:firstLineChars="200"/>
        <w:jc w:val="left"/>
        <w:textAlignment w:val="auto"/>
        <w:outlineLvl w:val="9"/>
        <w:rPr>
          <w:rFonts w:hint="eastAsia" w:ascii="宋体" w:hAnsi="宋体" w:eastAsia="宋体" w:cs="宋体"/>
          <w:b w:val="0"/>
          <w:bCs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（9）椅脚:高强度尼龙脚，坚固耐用，稳定性高；</w:t>
      </w:r>
    </w:p>
    <w:p w14:paraId="67B152AD">
      <w:pPr>
        <w:pStyle w:val="41"/>
        <w:tabs>
          <w:tab w:val="left" w:pos="1890"/>
        </w:tabs>
        <w:spacing w:line="360" w:lineRule="auto"/>
        <w:ind w:firstLine="480" w:firstLineChars="200"/>
        <w:rPr>
          <w:rFonts w:hint="eastAsia" w:ascii="宋体" w:hAnsi="宋体" w:eastAsia="宋体" w:cs="宋体"/>
          <w:b w:val="0"/>
          <w:bCs w:val="0"/>
          <w:strike w:val="0"/>
          <w:color w:val="000000"/>
          <w:kern w:val="44"/>
          <w:sz w:val="24"/>
          <w:szCs w:val="24"/>
          <w:highlight w:val="none"/>
          <w:lang w:val="en-US" w:eastAsia="zh-CN" w:bidi="ar-SA"/>
        </w:rPr>
      </w:pPr>
      <w:r>
        <w:rPr>
          <w:rFonts w:hint="eastAsia" w:ascii="宋体" w:hAnsi="宋体" w:eastAsia="宋体" w:cs="宋体"/>
          <w:b w:val="0"/>
          <w:bCs w:val="0"/>
          <w:color w:val="000000"/>
          <w:kern w:val="44"/>
          <w:sz w:val="24"/>
          <w:szCs w:val="24"/>
          <w:highlight w:val="none"/>
          <w:lang w:val="en-US" w:eastAsia="zh-CN" w:bidi="ar-SA"/>
        </w:rPr>
        <w:t>（10）脚轮:</w:t>
      </w:r>
      <w:r>
        <w:rPr>
          <w:rFonts w:hint="eastAsia" w:ascii="宋体" w:hAnsi="宋体" w:eastAsia="宋体" w:cs="宋体"/>
          <w:b w:val="0"/>
          <w:bCs w:val="0"/>
          <w:strike w:val="0"/>
          <w:color w:val="000000"/>
          <w:kern w:val="44"/>
          <w:sz w:val="24"/>
          <w:szCs w:val="24"/>
          <w:highlight w:val="none"/>
          <w:lang w:val="en-US" w:eastAsia="zh-CN" w:bidi="ar-SA"/>
        </w:rPr>
        <w:t>取消脚轮设计。</w:t>
      </w:r>
    </w:p>
    <w:p w14:paraId="79E5263D">
      <w:pPr>
        <w:adjustRightInd/>
        <w:spacing w:line="360" w:lineRule="auto"/>
        <w:ind w:firstLine="0" w:firstLineChars="0"/>
        <w:jc w:val="both"/>
        <w:rPr>
          <w:rFonts w:hint="eastAsia" w:ascii="宋体" w:hAnsi="宋体"/>
          <w:b/>
          <w:bCs/>
          <w:color w:val="000000" w:themeColor="text1"/>
          <w:kern w:val="2"/>
          <w:sz w:val="24"/>
          <w:szCs w:val="24"/>
          <w:highlight w:val="none"/>
          <w14:textFill>
            <w14:solidFill>
              <w14:schemeClr w14:val="tx1"/>
            </w14:solidFill>
          </w14:textFill>
        </w:rPr>
      </w:pPr>
      <w:r>
        <w:rPr>
          <w:rFonts w:hint="eastAsia" w:ascii="宋体" w:hAnsi="宋体"/>
          <w:b/>
          <w:bCs/>
          <w:color w:val="000000" w:themeColor="text1"/>
          <w:kern w:val="2"/>
          <w:sz w:val="24"/>
          <w:szCs w:val="24"/>
          <w:highlight w:val="none"/>
          <w14:textFill>
            <w14:solidFill>
              <w14:schemeClr w14:val="tx1"/>
            </w14:solidFill>
          </w14:textFill>
        </w:rPr>
        <w:t>4.6 其他要求</w:t>
      </w:r>
    </w:p>
    <w:p w14:paraId="3D7955C9">
      <w:pPr>
        <w:pStyle w:val="41"/>
        <w:spacing w:line="360" w:lineRule="auto"/>
        <w:rPr>
          <w:rFonts w:hint="default"/>
          <w:color w:val="000000" w:themeColor="text1"/>
          <w:kern w:val="2"/>
          <w:szCs w:val="24"/>
          <w:highlight w:val="none"/>
          <w14:textFill>
            <w14:solidFill>
              <w14:schemeClr w14:val="tx1"/>
            </w14:solidFill>
          </w14:textFill>
        </w:rPr>
      </w:pPr>
      <w:bookmarkStart w:id="32" w:name="_Toc470861312"/>
      <w:r>
        <w:rPr>
          <w:color w:val="000000" w:themeColor="text1"/>
          <w:kern w:val="2"/>
          <w:szCs w:val="24"/>
          <w:highlight w:val="none"/>
          <w14:textFill>
            <w14:solidFill>
              <w14:schemeClr w14:val="tx1"/>
            </w14:solidFill>
          </w14:textFill>
        </w:rPr>
        <w:t>4.6.1</w:t>
      </w:r>
      <w:r>
        <w:rPr>
          <w:rFonts w:hint="eastAsia" w:ascii="宋体" w:hAnsi="宋体"/>
          <w:color w:val="000000"/>
          <w:sz w:val="24"/>
          <w:highlight w:val="none"/>
          <w:lang w:eastAsia="zh-CN"/>
        </w:rPr>
        <w:t>招标人</w:t>
      </w:r>
      <w:r>
        <w:rPr>
          <w:rFonts w:hint="eastAsia" w:ascii="宋体" w:hAnsi="宋体"/>
          <w:color w:val="000000"/>
          <w:sz w:val="24"/>
          <w:highlight w:val="none"/>
        </w:rPr>
        <w:t>负责提供符合系统需要的一路380/220VAC电源至大屏幕配电箱</w:t>
      </w:r>
      <w:r>
        <w:rPr>
          <w:rFonts w:hint="eastAsia" w:ascii="宋体" w:hAnsi="宋体"/>
          <w:color w:val="000000"/>
          <w:sz w:val="24"/>
          <w:highlight w:val="none"/>
          <w:lang w:eastAsia="zh-CN"/>
        </w:rPr>
        <w:t>，</w:t>
      </w:r>
      <w:r>
        <w:rPr>
          <w:rFonts w:hint="eastAsia" w:ascii="宋体" w:hAnsi="宋体"/>
          <w:color w:val="000000"/>
          <w:sz w:val="24"/>
          <w:highlight w:val="none"/>
        </w:rPr>
        <w:t>电缆由</w:t>
      </w:r>
      <w:r>
        <w:rPr>
          <w:rFonts w:hint="eastAsia" w:ascii="宋体" w:hAnsi="宋体"/>
          <w:color w:val="000000"/>
          <w:sz w:val="24"/>
          <w:highlight w:val="none"/>
          <w:lang w:eastAsia="zh-CN"/>
        </w:rPr>
        <w:t>招标人</w:t>
      </w:r>
      <w:r>
        <w:rPr>
          <w:rFonts w:hint="eastAsia" w:ascii="宋体" w:hAnsi="宋体"/>
          <w:color w:val="000000"/>
          <w:sz w:val="24"/>
          <w:highlight w:val="none"/>
        </w:rPr>
        <w:t>负责提供。大屏幕配电箱、控制机柜内部以及操作控制台内部的电源</w:t>
      </w:r>
      <w:r>
        <w:rPr>
          <w:rFonts w:hint="eastAsia" w:ascii="宋体" w:hAnsi="宋体"/>
          <w:color w:val="000000"/>
          <w:sz w:val="24"/>
          <w:highlight w:val="none"/>
          <w:lang w:val="en-US" w:eastAsia="zh-CN"/>
        </w:rPr>
        <w:t>及线缆</w:t>
      </w:r>
      <w:r>
        <w:rPr>
          <w:rFonts w:hint="eastAsia" w:ascii="宋体" w:hAnsi="宋体"/>
          <w:color w:val="000000"/>
          <w:sz w:val="24"/>
          <w:highlight w:val="none"/>
        </w:rPr>
        <w:t>由</w:t>
      </w:r>
      <w:r>
        <w:rPr>
          <w:rFonts w:hint="eastAsia" w:ascii="宋体" w:hAnsi="宋体"/>
          <w:color w:val="000000"/>
          <w:sz w:val="24"/>
          <w:highlight w:val="none"/>
          <w:lang w:eastAsia="zh-CN"/>
        </w:rPr>
        <w:t>投标人</w:t>
      </w:r>
      <w:r>
        <w:rPr>
          <w:rFonts w:hint="eastAsia" w:ascii="宋体" w:hAnsi="宋体"/>
          <w:color w:val="000000"/>
          <w:sz w:val="24"/>
          <w:highlight w:val="none"/>
        </w:rPr>
        <w:t>负责。</w:t>
      </w:r>
      <w:r>
        <w:rPr>
          <w:rFonts w:hint="eastAsia"/>
          <w:color w:val="000000" w:themeColor="text1"/>
          <w:kern w:val="2"/>
          <w:szCs w:val="24"/>
          <w:highlight w:val="none"/>
          <w14:textFill>
            <w14:solidFill>
              <w14:schemeClr w14:val="tx1"/>
            </w14:solidFill>
          </w14:textFill>
        </w:rPr>
        <w:t>投标人提供配电箱，用于</w:t>
      </w:r>
      <w:r>
        <w:rPr>
          <w:rFonts w:hint="eastAsia"/>
          <w:color w:val="000000" w:themeColor="text1"/>
          <w:kern w:val="2"/>
          <w:szCs w:val="24"/>
          <w:highlight w:val="none"/>
          <w:lang w:val="en-US" w:eastAsia="zh-CN"/>
          <w14:textFill>
            <w14:solidFill>
              <w14:schemeClr w14:val="tx1"/>
            </w14:solidFill>
          </w14:textFill>
        </w:rPr>
        <w:t>投标人供货范围内</w:t>
      </w:r>
      <w:r>
        <w:rPr>
          <w:rFonts w:hint="eastAsia"/>
          <w:color w:val="000000" w:themeColor="text1"/>
          <w:kern w:val="2"/>
          <w:szCs w:val="24"/>
          <w:highlight w:val="none"/>
          <w14:textFill>
            <w14:solidFill>
              <w14:schemeClr w14:val="tx1"/>
            </w14:solidFill>
          </w14:textFill>
        </w:rPr>
        <w:t>用电设备的电源分配，各回路电源</w:t>
      </w:r>
      <w:r>
        <w:rPr>
          <w:rFonts w:hint="eastAsia"/>
          <w:color w:val="000000" w:themeColor="text1"/>
          <w:highlight w:val="none"/>
          <w14:textFill>
            <w14:solidFill>
              <w14:schemeClr w14:val="tx1"/>
            </w14:solidFill>
          </w14:textFill>
        </w:rPr>
        <w:t>应能独立通断，并应有防止干扰的屏蔽措施及便于检修的安全措施，配电箱防护等级不低于</w:t>
      </w:r>
      <w:r>
        <w:rPr>
          <w:color w:val="000000" w:themeColor="text1"/>
          <w:highlight w:val="none"/>
          <w14:textFill>
            <w14:solidFill>
              <w14:schemeClr w14:val="tx1"/>
            </w14:solidFill>
          </w14:textFill>
        </w:rPr>
        <w:t>IP54</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配电箱应有</w:t>
      </w:r>
      <w:r>
        <w:rPr>
          <w:color w:val="000000" w:themeColor="text1"/>
          <w:highlight w:val="none"/>
          <w14:textFill>
            <w14:solidFill>
              <w14:schemeClr w14:val="tx1"/>
            </w14:solidFill>
          </w14:textFill>
        </w:rPr>
        <w:t>20</w:t>
      </w:r>
      <w:r>
        <w:rPr>
          <w:rFonts w:hint="eastAsia"/>
          <w:color w:val="000000" w:themeColor="text1"/>
          <w:highlight w:val="none"/>
          <w14:textFill>
            <w14:solidFill>
              <w14:schemeClr w14:val="tx1"/>
            </w14:solidFill>
          </w14:textFill>
        </w:rPr>
        <w:t>％的备用回路</w:t>
      </w:r>
      <w:r>
        <w:rPr>
          <w:rFonts w:hint="eastAsia"/>
          <w:color w:val="000000" w:themeColor="text1"/>
          <w:highlight w:val="none"/>
          <w:lang w:eastAsia="zh-CN"/>
          <w14:textFill>
            <w14:solidFill>
              <w14:schemeClr w14:val="tx1"/>
            </w14:solidFill>
          </w14:textFill>
        </w:rPr>
        <w:t>。</w:t>
      </w:r>
    </w:p>
    <w:p w14:paraId="3C4BDA45">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4.6.2</w:t>
      </w:r>
      <w:r>
        <w:rPr>
          <w:rFonts w:hint="eastAsia"/>
          <w:color w:val="000000" w:themeColor="text1"/>
          <w:kern w:val="2"/>
          <w:szCs w:val="24"/>
          <w:highlight w:val="none"/>
          <w14:textFill>
            <w14:solidFill>
              <w14:schemeClr w14:val="tx1"/>
            </w14:solidFill>
          </w14:textFill>
        </w:rPr>
        <w:t>投标人提供的交换机选用国产优质品牌，可用千兆电接口数量≥</w:t>
      </w:r>
      <w:r>
        <w:rPr>
          <w:color w:val="000000" w:themeColor="text1"/>
          <w:kern w:val="2"/>
          <w:szCs w:val="24"/>
          <w:highlight w:val="none"/>
          <w14:textFill>
            <w14:solidFill>
              <w14:schemeClr w14:val="tx1"/>
            </w14:solidFill>
          </w14:textFill>
        </w:rPr>
        <w:t>24</w:t>
      </w:r>
      <w:r>
        <w:rPr>
          <w:rFonts w:hint="eastAsia"/>
          <w:color w:val="000000" w:themeColor="text1"/>
          <w:kern w:val="2"/>
          <w:szCs w:val="24"/>
          <w:highlight w:val="none"/>
          <w14:textFill>
            <w14:solidFill>
              <w14:schemeClr w14:val="tx1"/>
            </w14:solidFill>
          </w14:textFill>
        </w:rPr>
        <w:t>，可用千兆光接口数量≥</w:t>
      </w:r>
      <w:r>
        <w:rPr>
          <w:color w:val="000000" w:themeColor="text1"/>
          <w:kern w:val="2"/>
          <w:szCs w:val="24"/>
          <w:highlight w:val="none"/>
          <w14:textFill>
            <w14:solidFill>
              <w14:schemeClr w14:val="tx1"/>
            </w14:solidFill>
          </w14:textFill>
        </w:rPr>
        <w:t>2</w:t>
      </w:r>
      <w:r>
        <w:rPr>
          <w:rFonts w:hint="eastAsia"/>
          <w:color w:val="000000" w:themeColor="text1"/>
          <w:kern w:val="2"/>
          <w:szCs w:val="24"/>
          <w:highlight w:val="none"/>
          <w14:textFill>
            <w14:solidFill>
              <w14:schemeClr w14:val="tx1"/>
            </w14:solidFill>
          </w14:textFill>
        </w:rPr>
        <w:t>；交换容量≥</w:t>
      </w:r>
      <w:r>
        <w:rPr>
          <w:color w:val="000000" w:themeColor="text1"/>
          <w:kern w:val="2"/>
          <w:szCs w:val="24"/>
          <w:highlight w:val="none"/>
          <w14:textFill>
            <w14:solidFill>
              <w14:schemeClr w14:val="tx1"/>
            </w14:solidFill>
          </w14:textFill>
        </w:rPr>
        <w:t>26Gbps</w:t>
      </w:r>
      <w:r>
        <w:rPr>
          <w:rFonts w:hint="eastAsia"/>
          <w:color w:val="000000" w:themeColor="text1"/>
          <w:kern w:val="2"/>
          <w:szCs w:val="24"/>
          <w:highlight w:val="none"/>
          <w14:textFill>
            <w14:solidFill>
              <w14:schemeClr w14:val="tx1"/>
            </w14:solidFill>
          </w14:textFill>
        </w:rPr>
        <w:t>，转发性能≥</w:t>
      </w:r>
      <w:r>
        <w:rPr>
          <w:color w:val="000000" w:themeColor="text1"/>
          <w:kern w:val="2"/>
          <w:szCs w:val="24"/>
          <w:highlight w:val="none"/>
          <w14:textFill>
            <w14:solidFill>
              <w14:schemeClr w14:val="tx1"/>
            </w14:solidFill>
          </w14:textFill>
        </w:rPr>
        <w:t>41.67Mpps</w:t>
      </w:r>
      <w:r>
        <w:rPr>
          <w:rFonts w:hint="eastAsia"/>
          <w:color w:val="000000" w:themeColor="text1"/>
          <w:kern w:val="2"/>
          <w:szCs w:val="24"/>
          <w:highlight w:val="none"/>
          <w14:textFill>
            <w14:solidFill>
              <w14:schemeClr w14:val="tx1"/>
            </w14:solidFill>
          </w14:textFill>
        </w:rPr>
        <w:t>。</w:t>
      </w:r>
    </w:p>
    <w:p w14:paraId="292DF8D9">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4.6.3</w:t>
      </w:r>
      <w:r>
        <w:rPr>
          <w:rFonts w:hint="eastAsia"/>
          <w:color w:val="000000" w:themeColor="text1"/>
          <w:kern w:val="2"/>
          <w:szCs w:val="24"/>
          <w:highlight w:val="none"/>
          <w14:textFill>
            <w14:solidFill>
              <w14:schemeClr w14:val="tx1"/>
            </w14:solidFill>
          </w14:textFill>
        </w:rPr>
        <w:t>投标人提供的配电箱、机柜采用</w:t>
      </w:r>
      <w:r>
        <w:rPr>
          <w:rFonts w:hint="eastAsia"/>
          <w:color w:val="000000" w:themeColor="text1"/>
          <w:kern w:val="2"/>
          <w:szCs w:val="24"/>
          <w:highlight w:val="none"/>
          <w:lang w:eastAsia="zh-CN"/>
          <w14:textFill>
            <w14:solidFill>
              <w14:schemeClr w14:val="tx1"/>
            </w14:solidFill>
          </w14:textFill>
        </w:rPr>
        <w:t>3</w:t>
      </w:r>
      <w:r>
        <w:rPr>
          <w:rFonts w:hint="eastAsia"/>
          <w:color w:val="000000" w:themeColor="text1"/>
          <w:kern w:val="2"/>
          <w:szCs w:val="24"/>
          <w:highlight w:val="none"/>
          <w:lang w:val="en-US" w:eastAsia="zh-CN"/>
          <w14:textFill>
            <w14:solidFill>
              <w14:schemeClr w14:val="tx1"/>
            </w14:solidFill>
          </w14:textFill>
        </w:rPr>
        <w:t>04</w:t>
      </w:r>
      <w:r>
        <w:rPr>
          <w:rFonts w:hint="eastAsia"/>
          <w:color w:val="000000" w:themeColor="text1"/>
          <w:kern w:val="2"/>
          <w:szCs w:val="24"/>
          <w:highlight w:val="none"/>
          <w14:textFill>
            <w14:solidFill>
              <w14:schemeClr w14:val="tx1"/>
            </w14:solidFill>
          </w14:textFill>
        </w:rPr>
        <w:t>不锈钢，柜板厚度不小于</w:t>
      </w:r>
      <w:r>
        <w:rPr>
          <w:color w:val="000000" w:themeColor="text1"/>
          <w:kern w:val="2"/>
          <w:szCs w:val="24"/>
          <w:highlight w:val="none"/>
          <w14:textFill>
            <w14:solidFill>
              <w14:schemeClr w14:val="tx1"/>
            </w14:solidFill>
          </w14:textFill>
        </w:rPr>
        <w:t>2.0mm</w:t>
      </w:r>
      <w:r>
        <w:rPr>
          <w:rFonts w:hint="eastAsia"/>
          <w:color w:val="000000" w:themeColor="text1"/>
          <w:kern w:val="2"/>
          <w:szCs w:val="24"/>
          <w:highlight w:val="none"/>
          <w14:textFill>
            <w14:solidFill>
              <w14:schemeClr w14:val="tx1"/>
            </w14:solidFill>
          </w14:textFill>
        </w:rPr>
        <w:t>，防护等级不低于</w:t>
      </w:r>
      <w:r>
        <w:rPr>
          <w:color w:val="000000" w:themeColor="text1"/>
          <w:kern w:val="2"/>
          <w:szCs w:val="24"/>
          <w:highlight w:val="none"/>
          <w14:textFill>
            <w14:solidFill>
              <w14:schemeClr w14:val="tx1"/>
            </w14:solidFill>
          </w14:textFill>
        </w:rPr>
        <w:t>IP54</w:t>
      </w:r>
      <w:r>
        <w:rPr>
          <w:rFonts w:hint="eastAsia"/>
          <w:color w:val="000000" w:themeColor="text1"/>
          <w:kern w:val="2"/>
          <w:szCs w:val="24"/>
          <w:highlight w:val="none"/>
          <w14:textFill>
            <w14:solidFill>
              <w14:schemeClr w14:val="tx1"/>
            </w14:solidFill>
          </w14:textFill>
        </w:rPr>
        <w:t>。材料选择和工艺应使其内、外表面光滑整洁，没有焊接、铆钉或外侧出现的螺栓头。机柜应有通风装置，以保证运行时内部温度不超过设备允许的温度极限值。内部应提供有</w:t>
      </w:r>
      <w:r>
        <w:rPr>
          <w:color w:val="000000" w:themeColor="text1"/>
          <w:kern w:val="2"/>
          <w:szCs w:val="24"/>
          <w:highlight w:val="none"/>
          <w14:textFill>
            <w14:solidFill>
              <w14:schemeClr w14:val="tx1"/>
            </w14:solidFill>
          </w14:textFill>
        </w:rPr>
        <w:t>220VAC</w:t>
      </w:r>
      <w:r>
        <w:rPr>
          <w:rFonts w:hint="eastAsia"/>
          <w:color w:val="000000" w:themeColor="text1"/>
          <w:kern w:val="2"/>
          <w:szCs w:val="24"/>
          <w:highlight w:val="none"/>
          <w14:textFill>
            <w14:solidFill>
              <w14:schemeClr w14:val="tx1"/>
            </w14:solidFill>
          </w14:textFill>
        </w:rPr>
        <w:t>照明灯和检修插座，盘上和盘内设备应有标志牌。为便于集控室整体布置美观，配电箱、机柜具体尺寸、颜色由招标人在设计联络会中确定。</w:t>
      </w:r>
    </w:p>
    <w:p w14:paraId="52E84303">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4.6.4</w:t>
      </w:r>
      <w:r>
        <w:rPr>
          <w:rFonts w:hint="eastAsia"/>
          <w:color w:val="000000" w:themeColor="text1"/>
          <w:kern w:val="2"/>
          <w:szCs w:val="24"/>
          <w:highlight w:val="none"/>
          <w14:textFill>
            <w14:solidFill>
              <w14:schemeClr w14:val="tx1"/>
            </w14:solidFill>
          </w14:textFill>
        </w:rPr>
        <w:t>投标人应提供镀锌桥架、镀锌电缆保护管等辅材用于电缆敷设，并按要求对强、弱电线缆分开敷设。投标人敷设的线缆应确保线缆敷设整齐美观、标识清晰、接线规范可靠。</w:t>
      </w:r>
    </w:p>
    <w:p w14:paraId="3F904C29">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4.6.5</w:t>
      </w:r>
      <w:r>
        <w:rPr>
          <w:rFonts w:hint="eastAsia"/>
          <w:color w:val="000000" w:themeColor="text1"/>
          <w:kern w:val="2"/>
          <w:szCs w:val="24"/>
          <w:highlight w:val="none"/>
          <w14:textFill>
            <w14:solidFill>
              <w14:schemeClr w14:val="tx1"/>
            </w14:solidFill>
          </w14:textFill>
        </w:rPr>
        <w:t>现场设备接地属投标人工作范围，投标人应按照要求接到招标人指定的接地点，确保现场设备的可靠接地。</w:t>
      </w:r>
    </w:p>
    <w:p w14:paraId="5166123D">
      <w:pPr>
        <w:pStyle w:val="41"/>
        <w:spacing w:line="360" w:lineRule="auto"/>
        <w:rPr>
          <w:rFonts w:hint="eastAsia"/>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4.6.6</w:t>
      </w:r>
      <w:r>
        <w:rPr>
          <w:rFonts w:hint="eastAsia"/>
          <w:color w:val="000000" w:themeColor="text1"/>
          <w:kern w:val="2"/>
          <w:szCs w:val="24"/>
          <w:highlight w:val="none"/>
          <w14:textFill>
            <w14:solidFill>
              <w14:schemeClr w14:val="tx1"/>
            </w14:solidFill>
          </w14:textFill>
        </w:rPr>
        <w:t>投标人按照要求提供</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大屏显示系统所需的电源线、网线（六类）、光纤（含熔接），同时负责提供接入</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大屏显示系统所需的视频线、信号线，并完成数据对接。</w:t>
      </w:r>
    </w:p>
    <w:p w14:paraId="413193EB">
      <w:pPr>
        <w:spacing w:line="360" w:lineRule="auto"/>
        <w:jc w:val="left"/>
        <w:rPr>
          <w:highlight w:val="none"/>
        </w:rPr>
      </w:pPr>
      <w:r>
        <w:rPr>
          <w:rFonts w:hint="default" w:ascii="Times New Roman" w:hAnsi="Times New Roman" w:cs="Times New Roman"/>
          <w:b w:val="0"/>
          <w:bCs w:val="0"/>
          <w:color w:val="000000"/>
          <w:spacing w:val="-4"/>
          <w:sz w:val="24"/>
          <w:szCs w:val="24"/>
          <w:highlight w:val="none"/>
          <w:lang w:val="en-US" w:eastAsia="zh-CN"/>
        </w:rPr>
        <w:t>4.6.7</w:t>
      </w:r>
      <w:r>
        <w:rPr>
          <w:rFonts w:hint="eastAsia" w:ascii="宋体" w:hAnsi="宋体" w:cs="宋体"/>
          <w:b w:val="0"/>
          <w:bCs w:val="0"/>
          <w:color w:val="000000"/>
          <w:spacing w:val="-4"/>
          <w:sz w:val="24"/>
          <w:szCs w:val="24"/>
          <w:highlight w:val="none"/>
          <w:lang w:val="en-US" w:eastAsia="zh-CN"/>
        </w:rPr>
        <w:t xml:space="preserve"> </w:t>
      </w:r>
      <w:r>
        <w:rPr>
          <w:rFonts w:hint="eastAsia" w:ascii="宋体" w:hAnsi="宋体" w:eastAsia="宋体" w:cs="宋体"/>
          <w:b w:val="0"/>
          <w:bCs w:val="0"/>
          <w:color w:val="000000"/>
          <w:spacing w:val="-4"/>
          <w:sz w:val="24"/>
          <w:szCs w:val="24"/>
          <w:highlight w:val="none"/>
        </w:rPr>
        <w:t>控制台制造商需具有ISO9001质量体系证书、ISO14001环境管理体系证书、ISO45001职业健康安全管理证书。投标时提供相关证书复印件并加盖制造商公章。投标人或投标品牌制造商需具有同类业绩</w:t>
      </w:r>
      <w:r>
        <w:rPr>
          <w:rFonts w:hint="eastAsia" w:ascii="宋体" w:hAnsi="宋体" w:cs="宋体"/>
          <w:b w:val="0"/>
          <w:bCs w:val="0"/>
          <w:color w:val="000000"/>
          <w:spacing w:val="-4"/>
          <w:sz w:val="24"/>
          <w:szCs w:val="24"/>
          <w:highlight w:val="none"/>
          <w:lang w:eastAsia="zh-CN"/>
        </w:rPr>
        <w:t>，</w:t>
      </w:r>
      <w:r>
        <w:rPr>
          <w:rFonts w:hint="eastAsia" w:ascii="宋体" w:hAnsi="宋体" w:eastAsia="宋体" w:cs="宋体"/>
          <w:b w:val="0"/>
          <w:bCs w:val="0"/>
          <w:color w:val="000000"/>
          <w:spacing w:val="-4"/>
          <w:sz w:val="24"/>
          <w:szCs w:val="24"/>
          <w:highlight w:val="none"/>
        </w:rPr>
        <w:t>投标人必须提供原厂商针对此项目的产品授权书和质量保证书。</w:t>
      </w:r>
    </w:p>
    <w:p w14:paraId="5EEC5FA1">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4.6.</w:t>
      </w:r>
      <w:r>
        <w:rPr>
          <w:rFonts w:hint="eastAsia"/>
          <w:color w:val="000000" w:themeColor="text1"/>
          <w:kern w:val="2"/>
          <w:szCs w:val="24"/>
          <w:highlight w:val="none"/>
          <w:lang w:val="en-US" w:eastAsia="zh-CN"/>
          <w14:textFill>
            <w14:solidFill>
              <w14:schemeClr w14:val="tx1"/>
            </w14:solidFill>
          </w14:textFill>
        </w:rPr>
        <w:t>8</w:t>
      </w:r>
      <w:r>
        <w:rPr>
          <w:rFonts w:hint="eastAsia"/>
          <w:color w:val="000000" w:themeColor="text1"/>
          <w:kern w:val="2"/>
          <w:szCs w:val="24"/>
          <w:highlight w:val="none"/>
          <w14:textFill>
            <w14:solidFill>
              <w14:schemeClr w14:val="tx1"/>
            </w14:solidFill>
          </w14:textFill>
        </w:rPr>
        <w:t>设备安装、调试、测试所需的工具及材料均由投标人负责。</w:t>
      </w:r>
      <w:bookmarkEnd w:id="32"/>
    </w:p>
    <w:p w14:paraId="103E0313">
      <w:pPr>
        <w:pStyle w:val="41"/>
        <w:spacing w:line="360" w:lineRule="auto"/>
        <w:rPr>
          <w:b/>
          <w:bCs/>
          <w:color w:val="000000" w:themeColor="text1"/>
          <w:kern w:val="2"/>
          <w:szCs w:val="24"/>
          <w:highlight w:val="none"/>
          <w14:textFill>
            <w14:solidFill>
              <w14:schemeClr w14:val="tx1"/>
            </w14:solidFill>
          </w14:textFill>
        </w:rPr>
      </w:pPr>
      <w:r>
        <w:rPr>
          <w:b/>
          <w:bCs/>
          <w:color w:val="000000" w:themeColor="text1"/>
          <w:kern w:val="2"/>
          <w:szCs w:val="24"/>
          <w:highlight w:val="none"/>
          <w14:textFill>
            <w14:solidFill>
              <w14:schemeClr w14:val="tx1"/>
            </w14:solidFill>
          </w14:textFill>
        </w:rPr>
        <w:t xml:space="preserve">4.7 </w:t>
      </w:r>
      <w:r>
        <w:rPr>
          <w:rFonts w:hint="eastAsia"/>
          <w:b/>
          <w:bCs/>
          <w:color w:val="000000" w:themeColor="text1"/>
          <w:kern w:val="2"/>
          <w:szCs w:val="24"/>
          <w:highlight w:val="none"/>
          <w14:textFill>
            <w14:solidFill>
              <w14:schemeClr w14:val="tx1"/>
            </w14:solidFill>
          </w14:textFill>
        </w:rPr>
        <w:t>设备服务要求</w:t>
      </w:r>
    </w:p>
    <w:p w14:paraId="1AAB5343">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4.7.1 </w:t>
      </w:r>
      <w:r>
        <w:rPr>
          <w:rFonts w:hint="eastAsia"/>
          <w:color w:val="000000" w:themeColor="text1"/>
          <w:kern w:val="2"/>
          <w:szCs w:val="24"/>
          <w:highlight w:val="none"/>
          <w14:textFill>
            <w14:solidFill>
              <w14:schemeClr w14:val="tx1"/>
            </w14:solidFill>
          </w14:textFill>
        </w:rPr>
        <w:t>投标人需提供大屏设备、操作系统及相关软件的安装调试服务。</w:t>
      </w:r>
    </w:p>
    <w:p w14:paraId="16ADEE82">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4.7.2 </w:t>
      </w:r>
      <w:r>
        <w:rPr>
          <w:rFonts w:hint="eastAsia"/>
          <w:color w:val="000000" w:themeColor="text1"/>
          <w:kern w:val="2"/>
          <w:szCs w:val="24"/>
          <w:highlight w:val="none"/>
          <w14:textFill>
            <w14:solidFill>
              <w14:schemeClr w14:val="tx1"/>
            </w14:solidFill>
          </w14:textFill>
        </w:rPr>
        <w:t>从大屏显示系统设备交付之日起三年内，提供屏显示系统设备产品</w:t>
      </w:r>
      <w:r>
        <w:rPr>
          <w:color w:val="000000" w:themeColor="text1"/>
          <w:kern w:val="2"/>
          <w:szCs w:val="24"/>
          <w:highlight w:val="none"/>
          <w14:textFill>
            <w14:solidFill>
              <w14:schemeClr w14:val="tx1"/>
            </w14:solidFill>
          </w14:textFill>
        </w:rPr>
        <w:t>7*24</w:t>
      </w:r>
      <w:r>
        <w:rPr>
          <w:rFonts w:hint="eastAsia"/>
          <w:color w:val="000000" w:themeColor="text1"/>
          <w:kern w:val="2"/>
          <w:szCs w:val="24"/>
          <w:highlight w:val="none"/>
          <w14:textFill>
            <w14:solidFill>
              <w14:schemeClr w14:val="tx1"/>
            </w14:solidFill>
          </w14:textFill>
        </w:rPr>
        <w:t>小时上门维保服务，包括损坏件的免费更换服务。</w:t>
      </w:r>
    </w:p>
    <w:p w14:paraId="753DFE90">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4.7.2 </w:t>
      </w:r>
      <w:r>
        <w:rPr>
          <w:rFonts w:hint="eastAsia"/>
          <w:color w:val="000000" w:themeColor="text1"/>
          <w:kern w:val="2"/>
          <w:szCs w:val="24"/>
          <w:highlight w:val="none"/>
          <w14:textFill>
            <w14:solidFill>
              <w14:schemeClr w14:val="tx1"/>
            </w14:solidFill>
          </w14:textFill>
        </w:rPr>
        <w:t>提供三年之后的延保服务价格清单，不计入本次的报价总价中。</w:t>
      </w:r>
    </w:p>
    <w:p w14:paraId="13EFC7EF">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4.7.3 </w:t>
      </w:r>
      <w:r>
        <w:rPr>
          <w:rFonts w:hint="eastAsia"/>
          <w:color w:val="000000" w:themeColor="text1"/>
          <w:kern w:val="2"/>
          <w:szCs w:val="24"/>
          <w:highlight w:val="none"/>
          <w14:textFill>
            <w14:solidFill>
              <w14:schemeClr w14:val="tx1"/>
            </w14:solidFill>
          </w14:textFill>
        </w:rPr>
        <w:t>免费培训相关技术和管理人员，并与技术维护人员建立联系，提供长期的技术支持。</w:t>
      </w:r>
    </w:p>
    <w:p w14:paraId="3DF18133">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 xml:space="preserve">4.7.4 </w:t>
      </w:r>
      <w:r>
        <w:rPr>
          <w:rFonts w:hint="eastAsia"/>
          <w:color w:val="000000" w:themeColor="text1"/>
          <w:kern w:val="2"/>
          <w:szCs w:val="24"/>
          <w:highlight w:val="none"/>
          <w14:textFill>
            <w14:solidFill>
              <w14:schemeClr w14:val="tx1"/>
            </w14:solidFill>
          </w14:textFill>
        </w:rPr>
        <w:t>整体集控室</w:t>
      </w:r>
      <w:r>
        <w:rPr>
          <w:color w:val="000000" w:themeColor="text1"/>
          <w:kern w:val="2"/>
          <w:szCs w:val="24"/>
          <w:highlight w:val="none"/>
          <w14:textFill>
            <w14:solidFill>
              <w14:schemeClr w14:val="tx1"/>
            </w14:solidFill>
          </w14:textFill>
        </w:rPr>
        <w:t>LED</w:t>
      </w:r>
      <w:r>
        <w:rPr>
          <w:rFonts w:hint="eastAsia"/>
          <w:color w:val="000000" w:themeColor="text1"/>
          <w:kern w:val="2"/>
          <w:szCs w:val="24"/>
          <w:highlight w:val="none"/>
          <w14:textFill>
            <w14:solidFill>
              <w14:schemeClr w14:val="tx1"/>
            </w14:solidFill>
          </w14:textFill>
        </w:rPr>
        <w:t>大屏显示系统显示画面设计由投标人负责实施完成。</w:t>
      </w:r>
    </w:p>
    <w:p w14:paraId="73511EA0">
      <w:pPr>
        <w:pStyle w:val="41"/>
        <w:spacing w:line="360" w:lineRule="auto"/>
        <w:rPr>
          <w:b/>
          <w:color w:val="000000" w:themeColor="text1"/>
          <w:kern w:val="2"/>
          <w:szCs w:val="24"/>
          <w:highlight w:val="none"/>
          <w14:textFill>
            <w14:solidFill>
              <w14:schemeClr w14:val="tx1"/>
            </w14:solidFill>
          </w14:textFill>
        </w:rPr>
      </w:pPr>
      <w:r>
        <w:rPr>
          <w:b/>
          <w:color w:val="000000" w:themeColor="text1"/>
          <w:kern w:val="2"/>
          <w:szCs w:val="24"/>
          <w:highlight w:val="none"/>
          <w14:textFill>
            <w14:solidFill>
              <w14:schemeClr w14:val="tx1"/>
            </w14:solidFill>
          </w14:textFill>
        </w:rPr>
        <w:t xml:space="preserve">5 </w:t>
      </w:r>
      <w:r>
        <w:rPr>
          <w:rFonts w:hint="eastAsia"/>
          <w:b/>
          <w:color w:val="000000" w:themeColor="text1"/>
          <w:kern w:val="2"/>
          <w:szCs w:val="24"/>
          <w:highlight w:val="none"/>
          <w14:textFill>
            <w14:solidFill>
              <w14:schemeClr w14:val="tx1"/>
            </w14:solidFill>
          </w14:textFill>
        </w:rPr>
        <w:t>工程管理</w:t>
      </w:r>
    </w:p>
    <w:p w14:paraId="5C0208E9">
      <w:pPr>
        <w:pStyle w:val="41"/>
        <w:spacing w:line="360" w:lineRule="auto"/>
        <w:rPr>
          <w:color w:val="000000" w:themeColor="text1"/>
          <w:kern w:val="2"/>
          <w:szCs w:val="24"/>
          <w:highlight w:val="none"/>
          <w14:textFill>
            <w14:solidFill>
              <w14:schemeClr w14:val="tx1"/>
            </w14:solidFill>
          </w14:textFill>
        </w:rPr>
      </w:pPr>
      <w:bookmarkStart w:id="33" w:name="_Toc70050360"/>
      <w:r>
        <w:rPr>
          <w:color w:val="000000" w:themeColor="text1"/>
          <w:kern w:val="2"/>
          <w:szCs w:val="24"/>
          <w:highlight w:val="none"/>
          <w14:textFill>
            <w14:solidFill>
              <w14:schemeClr w14:val="tx1"/>
            </w14:solidFill>
          </w14:textFill>
        </w:rPr>
        <w:t>5.1</w:t>
      </w:r>
      <w:r>
        <w:rPr>
          <w:rFonts w:hint="eastAsia"/>
          <w:color w:val="000000" w:themeColor="text1"/>
          <w:kern w:val="2"/>
          <w:szCs w:val="24"/>
          <w:highlight w:val="none"/>
          <w14:textFill>
            <w14:solidFill>
              <w14:schemeClr w14:val="tx1"/>
            </w14:solidFill>
          </w14:textFill>
        </w:rPr>
        <w:t>项目管理</w:t>
      </w:r>
      <w:bookmarkEnd w:id="33"/>
    </w:p>
    <w:p w14:paraId="06670F3E">
      <w:pPr>
        <w:pStyle w:val="41"/>
        <w:spacing w:line="360" w:lineRule="auto"/>
        <w:rPr>
          <w:color w:val="000000" w:themeColor="text1"/>
          <w:kern w:val="2"/>
          <w:szCs w:val="24"/>
          <w:highlight w:val="none"/>
          <w14:textFill>
            <w14:solidFill>
              <w14:schemeClr w14:val="tx1"/>
            </w14:solidFill>
          </w14:textFill>
        </w:rPr>
      </w:pPr>
      <w:r>
        <w:rPr>
          <w:rFonts w:hint="eastAsia"/>
          <w:color w:val="000000" w:themeColor="text1"/>
          <w:kern w:val="2"/>
          <w:szCs w:val="24"/>
          <w:highlight w:val="none"/>
          <w14:textFill>
            <w14:solidFill>
              <w14:schemeClr w14:val="tx1"/>
            </w14:solidFill>
          </w14:textFill>
        </w:rPr>
        <w:t>合同签订后，投标人指定一项目经理，负责协调投标人在工程全过程的各项工作。如系统现场测量、设计、施工、工程进度、制造确认、编程、图纸文件、工厂和现场测试、编制文件、启动、投运和现场系统可利用率测试等工作。项目经理负责确保系统工程的各项性能指标达到招标人的所有要求，提供各项资料文件，按时执行合同。</w:t>
      </w:r>
    </w:p>
    <w:p w14:paraId="5D16D839">
      <w:pPr>
        <w:pStyle w:val="41"/>
        <w:spacing w:line="360" w:lineRule="auto"/>
        <w:rPr>
          <w:color w:val="000000" w:themeColor="text1"/>
          <w:kern w:val="2"/>
          <w:szCs w:val="24"/>
          <w:highlight w:val="none"/>
          <w14:textFill>
            <w14:solidFill>
              <w14:schemeClr w14:val="tx1"/>
            </w14:solidFill>
          </w14:textFill>
        </w:rPr>
      </w:pPr>
      <w:bookmarkStart w:id="34" w:name="_Toc70050361"/>
      <w:r>
        <w:rPr>
          <w:color w:val="000000" w:themeColor="text1"/>
          <w:kern w:val="2"/>
          <w:szCs w:val="24"/>
          <w:highlight w:val="none"/>
          <w14:textFill>
            <w14:solidFill>
              <w14:schemeClr w14:val="tx1"/>
            </w14:solidFill>
          </w14:textFill>
        </w:rPr>
        <w:t>5.2</w:t>
      </w:r>
      <w:r>
        <w:rPr>
          <w:rFonts w:hint="eastAsia"/>
          <w:color w:val="000000" w:themeColor="text1"/>
          <w:kern w:val="2"/>
          <w:szCs w:val="24"/>
          <w:highlight w:val="none"/>
          <w14:textFill>
            <w14:solidFill>
              <w14:schemeClr w14:val="tx1"/>
            </w14:solidFill>
          </w14:textFill>
        </w:rPr>
        <w:t>工程现场测量设计</w:t>
      </w:r>
      <w:bookmarkEnd w:id="34"/>
    </w:p>
    <w:p w14:paraId="48761FE7">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5.2.1</w:t>
      </w:r>
      <w:r>
        <w:rPr>
          <w:rFonts w:hint="eastAsia"/>
          <w:color w:val="000000" w:themeColor="text1"/>
          <w:kern w:val="2"/>
          <w:szCs w:val="24"/>
          <w:highlight w:val="none"/>
          <w14:textFill>
            <w14:solidFill>
              <w14:schemeClr w14:val="tx1"/>
            </w14:solidFill>
          </w14:textFill>
        </w:rPr>
        <w:t>在设备制造和系统设计前，投标人需进行现场实际测量，将设备布置图、系统说明书提供给招标人审核批准，以保证所供系统和设备能符合合同文件的各项规定。</w:t>
      </w:r>
    </w:p>
    <w:p w14:paraId="345B7694">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5.2.2</w:t>
      </w:r>
      <w:r>
        <w:rPr>
          <w:rFonts w:hint="eastAsia"/>
          <w:color w:val="000000" w:themeColor="text1"/>
          <w:kern w:val="2"/>
          <w:szCs w:val="24"/>
          <w:highlight w:val="none"/>
          <w14:textFill>
            <w14:solidFill>
              <w14:schemeClr w14:val="tx1"/>
            </w14:solidFill>
          </w14:textFill>
        </w:rPr>
        <w:t>投标人还向招标人提交所有最终接口资料和图纸，以便招标人能顺利开展其工作。</w:t>
      </w:r>
    </w:p>
    <w:p w14:paraId="5769DC68">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5.2.3</w:t>
      </w:r>
      <w:r>
        <w:rPr>
          <w:rFonts w:hint="eastAsia"/>
          <w:color w:val="000000" w:themeColor="text1"/>
          <w:kern w:val="2"/>
          <w:szCs w:val="24"/>
          <w:highlight w:val="none"/>
          <w14:textFill>
            <w14:solidFill>
              <w14:schemeClr w14:val="tx1"/>
            </w14:solidFill>
          </w14:textFill>
        </w:rPr>
        <w:t>投标人提交的设备布置图、接线图和其它详图，均随设计进程而更新，以便及时反映当前的设计进展。修改版本以数字形式在图标的版本栏内表示出来。</w:t>
      </w:r>
    </w:p>
    <w:p w14:paraId="1AE192FE">
      <w:pPr>
        <w:pStyle w:val="41"/>
        <w:spacing w:line="360" w:lineRule="auto"/>
        <w:rPr>
          <w:color w:val="000000" w:themeColor="text1"/>
          <w:kern w:val="2"/>
          <w:szCs w:val="24"/>
          <w:highlight w:val="none"/>
          <w14:textFill>
            <w14:solidFill>
              <w14:schemeClr w14:val="tx1"/>
            </w14:solidFill>
          </w14:textFill>
        </w:rPr>
      </w:pPr>
      <w:bookmarkStart w:id="35" w:name="_Toc70050362"/>
      <w:r>
        <w:rPr>
          <w:color w:val="000000" w:themeColor="text1"/>
          <w:kern w:val="2"/>
          <w:szCs w:val="24"/>
          <w:highlight w:val="none"/>
          <w14:textFill>
            <w14:solidFill>
              <w14:schemeClr w14:val="tx1"/>
            </w14:solidFill>
          </w14:textFill>
        </w:rPr>
        <w:t>5.3</w:t>
      </w:r>
      <w:r>
        <w:rPr>
          <w:rFonts w:hint="eastAsia"/>
          <w:color w:val="000000" w:themeColor="text1"/>
          <w:kern w:val="2"/>
          <w:szCs w:val="24"/>
          <w:highlight w:val="none"/>
          <w14:textFill>
            <w14:solidFill>
              <w14:schemeClr w14:val="tx1"/>
            </w14:solidFill>
          </w14:textFill>
        </w:rPr>
        <w:t>现场</w:t>
      </w:r>
      <w:bookmarkEnd w:id="35"/>
      <w:r>
        <w:rPr>
          <w:rFonts w:hint="eastAsia"/>
          <w:color w:val="000000" w:themeColor="text1"/>
          <w:kern w:val="2"/>
          <w:szCs w:val="24"/>
          <w:highlight w:val="none"/>
          <w14:textFill>
            <w14:solidFill>
              <w14:schemeClr w14:val="tx1"/>
            </w14:solidFill>
          </w14:textFill>
        </w:rPr>
        <w:t>工作</w:t>
      </w:r>
    </w:p>
    <w:p w14:paraId="535ED473">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5.3.1</w:t>
      </w:r>
      <w:r>
        <w:rPr>
          <w:rFonts w:hint="eastAsia"/>
          <w:color w:val="000000" w:themeColor="text1"/>
          <w:kern w:val="2"/>
          <w:szCs w:val="24"/>
          <w:highlight w:val="none"/>
          <w14:textFill>
            <w14:solidFill>
              <w14:schemeClr w14:val="tx1"/>
            </w14:solidFill>
          </w14:textFill>
        </w:rPr>
        <w:t>按照合同规定，投标人负责大屏幕系统的测量、设计、施工、调试等所有与之相关的工作，直到系统满足招标人要求。</w:t>
      </w:r>
    </w:p>
    <w:p w14:paraId="498A8448">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5.3.2</w:t>
      </w:r>
      <w:r>
        <w:rPr>
          <w:rFonts w:hint="eastAsia"/>
          <w:color w:val="000000" w:themeColor="text1"/>
          <w:kern w:val="2"/>
          <w:szCs w:val="24"/>
          <w:highlight w:val="none"/>
          <w14:textFill>
            <w14:solidFill>
              <w14:schemeClr w14:val="tx1"/>
            </w14:solidFill>
          </w14:textFill>
        </w:rPr>
        <w:t>投标人派出的专家，还负责对招标人的运行人员进行培训，教会他们如何区分，如何启动、操作及维护设备和系统。</w:t>
      </w:r>
    </w:p>
    <w:p w14:paraId="6BDED42E">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5.3.3</w:t>
      </w:r>
      <w:r>
        <w:rPr>
          <w:rFonts w:hint="eastAsia"/>
          <w:color w:val="000000" w:themeColor="text1"/>
          <w:kern w:val="2"/>
          <w:szCs w:val="24"/>
          <w:highlight w:val="none"/>
          <w14:textFill>
            <w14:solidFill>
              <w14:schemeClr w14:val="tx1"/>
            </w14:solidFill>
          </w14:textFill>
        </w:rPr>
        <w:t>投标人负责由其供应的设备、安装和系统进行的安装检查、软件调试、维护和启动，以及验收、竣工图纸交付等工作。</w:t>
      </w:r>
    </w:p>
    <w:p w14:paraId="55CDB113">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5.3.4</w:t>
      </w:r>
      <w:r>
        <w:rPr>
          <w:rFonts w:hint="eastAsia"/>
          <w:color w:val="000000" w:themeColor="text1"/>
          <w:kern w:val="2"/>
          <w:szCs w:val="24"/>
          <w:highlight w:val="none"/>
          <w14:textFill>
            <w14:solidFill>
              <w14:schemeClr w14:val="tx1"/>
            </w14:solidFill>
          </w14:textFill>
        </w:rPr>
        <w:t>投标人所需交通、生活和其它各项费用由投标人自行负责。</w:t>
      </w:r>
    </w:p>
    <w:p w14:paraId="2D8DA6C4">
      <w:pPr>
        <w:pStyle w:val="41"/>
        <w:spacing w:line="360" w:lineRule="auto"/>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5.3.5</w:t>
      </w:r>
      <w:r>
        <w:rPr>
          <w:rFonts w:hint="eastAsia"/>
          <w:color w:val="000000" w:themeColor="text1"/>
          <w:kern w:val="2"/>
          <w:szCs w:val="24"/>
          <w:highlight w:val="none"/>
          <w14:textFill>
            <w14:solidFill>
              <w14:schemeClr w14:val="tx1"/>
            </w14:solidFill>
          </w14:textFill>
        </w:rPr>
        <w:t>设备到现场后，投标人配合招标人开箱验收，确认装箱单、设备的完好后，领用施工。</w:t>
      </w:r>
    </w:p>
    <w:p w14:paraId="2E17A95F">
      <w:pPr>
        <w:pStyle w:val="41"/>
        <w:widowControl/>
        <w:autoSpaceDE w:val="0"/>
        <w:autoSpaceDN w:val="0"/>
        <w:snapToGrid w:val="0"/>
        <w:spacing w:line="360" w:lineRule="auto"/>
        <w:textAlignment w:val="bottom"/>
        <w:rPr>
          <w:color w:val="000000" w:themeColor="text1"/>
          <w:kern w:val="2"/>
          <w:szCs w:val="24"/>
          <w:highlight w:val="none"/>
          <w14:textFill>
            <w14:solidFill>
              <w14:schemeClr w14:val="tx1"/>
            </w14:solidFill>
          </w14:textFill>
        </w:rPr>
      </w:pPr>
      <w:r>
        <w:rPr>
          <w:color w:val="000000" w:themeColor="text1"/>
          <w:kern w:val="2"/>
          <w:szCs w:val="24"/>
          <w:highlight w:val="none"/>
          <w14:textFill>
            <w14:solidFill>
              <w14:schemeClr w14:val="tx1"/>
            </w14:solidFill>
          </w14:textFill>
        </w:rPr>
        <w:t>5.3.6</w:t>
      </w:r>
      <w:r>
        <w:rPr>
          <w:rFonts w:hint="eastAsia"/>
          <w:color w:val="000000" w:themeColor="text1"/>
          <w:kern w:val="2"/>
          <w:szCs w:val="24"/>
          <w:highlight w:val="none"/>
          <w14:textFill>
            <w14:solidFill>
              <w14:schemeClr w14:val="tx1"/>
            </w14:solidFill>
          </w14:textFill>
        </w:rPr>
        <w:t>投标人每周应向招标人提交工作报告和施工、调试工作进度表，在服务期终止时向招标人提交调试工作报告。</w:t>
      </w:r>
    </w:p>
    <w:p w14:paraId="1897FF70">
      <w:pPr>
        <w:outlineLvl w:val="9"/>
        <w:rPr>
          <w:rFonts w:hint="eastAsia"/>
          <w:color w:val="000000" w:themeColor="text1"/>
          <w:highlight w:val="none"/>
          <w14:textFill>
            <w14:solidFill>
              <w14:schemeClr w14:val="tx1"/>
            </w14:solidFill>
          </w14:textFill>
        </w:rPr>
      </w:pPr>
      <w:r>
        <w:rPr>
          <w:color w:val="000000" w:themeColor="text1"/>
          <w:sz w:val="24"/>
          <w:highlight w:val="none"/>
          <w14:textFill>
            <w14:solidFill>
              <w14:schemeClr w14:val="tx1"/>
            </w14:solidFill>
          </w14:textFill>
        </w:rPr>
        <w:t>5.3.7</w:t>
      </w:r>
      <w:r>
        <w:rPr>
          <w:rFonts w:hint="eastAsia"/>
          <w:color w:val="000000" w:themeColor="text1"/>
          <w:sz w:val="24"/>
          <w:highlight w:val="none"/>
          <w14:textFill>
            <w14:solidFill>
              <w14:schemeClr w14:val="tx1"/>
            </w14:solidFill>
          </w14:textFill>
        </w:rPr>
        <w:t>如投标人接到招标人要求其进行现场维护的通知，投标人服务人员应在通知收到后的</w:t>
      </w:r>
      <w:r>
        <w:rPr>
          <w:color w:val="000000" w:themeColor="text1"/>
          <w:sz w:val="24"/>
          <w:highlight w:val="none"/>
          <w14:textFill>
            <w14:solidFill>
              <w14:schemeClr w14:val="tx1"/>
            </w14:solidFill>
          </w14:textFill>
        </w:rPr>
        <w:t>24</w:t>
      </w:r>
      <w:r>
        <w:rPr>
          <w:rFonts w:hint="eastAsia"/>
          <w:color w:val="000000" w:themeColor="text1"/>
          <w:sz w:val="24"/>
          <w:highlight w:val="none"/>
          <w14:textFill>
            <w14:solidFill>
              <w14:schemeClr w14:val="tx1"/>
            </w14:solidFill>
          </w14:textFill>
        </w:rPr>
        <w:t>小时内到达现场。</w:t>
      </w:r>
      <w:bookmarkStart w:id="36" w:name="_Toc171002366"/>
    </w:p>
    <w:p w14:paraId="6C87DC96">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743265EC">
      <w:pPr>
        <w:pStyle w:val="3"/>
        <w:keepNext w:val="0"/>
        <w:keepLines w:val="0"/>
        <w:widowControl/>
        <w:numPr>
          <w:ilvl w:val="-1"/>
          <w:numId w:val="0"/>
        </w:numPr>
        <w:outlineLvl w:val="0"/>
        <w:rPr>
          <w:color w:val="000000" w:themeColor="text1"/>
          <w:sz w:val="28"/>
          <w:szCs w:val="28"/>
          <w:highlight w:val="none"/>
          <w14:textFill>
            <w14:solidFill>
              <w14:schemeClr w14:val="tx1"/>
            </w14:solidFill>
          </w14:textFill>
        </w:rPr>
      </w:pPr>
      <w:bookmarkStart w:id="37" w:name="_Toc9182"/>
      <w:r>
        <w:rPr>
          <w:rFonts w:hint="eastAsia"/>
          <w:color w:val="000000" w:themeColor="text1"/>
          <w:sz w:val="28"/>
          <w:szCs w:val="28"/>
          <w:highlight w:val="none"/>
          <w14:textFill>
            <w14:solidFill>
              <w14:schemeClr w14:val="tx1"/>
            </w14:solidFill>
          </w14:textFill>
        </w:rPr>
        <w:t>附件</w:t>
      </w:r>
      <w:r>
        <w:rPr>
          <w:color w:val="000000" w:themeColor="text1"/>
          <w:sz w:val="28"/>
          <w:szCs w:val="28"/>
          <w:highlight w:val="none"/>
          <w14:textFill>
            <w14:solidFill>
              <w14:schemeClr w14:val="tx1"/>
            </w14:solidFill>
          </w14:textFill>
        </w:rPr>
        <w:t>2</w:t>
      </w:r>
      <w:r>
        <w:rPr>
          <w:rFonts w:hint="eastAsia"/>
          <w:color w:val="000000" w:themeColor="text1"/>
          <w:sz w:val="28"/>
          <w:szCs w:val="28"/>
          <w:highlight w:val="none"/>
          <w14:textFill>
            <w14:solidFill>
              <w14:schemeClr w14:val="tx1"/>
            </w14:solidFill>
          </w14:textFill>
        </w:rPr>
        <w:t>供货范围</w:t>
      </w:r>
      <w:bookmarkEnd w:id="18"/>
      <w:bookmarkEnd w:id="19"/>
      <w:bookmarkEnd w:id="20"/>
      <w:bookmarkEnd w:id="21"/>
      <w:bookmarkEnd w:id="22"/>
      <w:bookmarkEnd w:id="23"/>
      <w:bookmarkEnd w:id="24"/>
      <w:bookmarkEnd w:id="36"/>
      <w:bookmarkEnd w:id="37"/>
      <w:bookmarkStart w:id="38" w:name="_Toc492130993"/>
      <w:bookmarkStart w:id="39" w:name="_Toc40596036"/>
    </w:p>
    <w:p w14:paraId="10AE4D39">
      <w:pPr>
        <w:pStyle w:val="4"/>
        <w:rPr>
          <w:color w:val="000000" w:themeColor="text1"/>
          <w:highlight w:val="none"/>
          <w14:textFill>
            <w14:solidFill>
              <w14:schemeClr w14:val="tx1"/>
            </w14:solidFill>
          </w14:textFill>
        </w:rPr>
      </w:pPr>
      <w:bookmarkStart w:id="40" w:name="_Toc171002367"/>
      <w:bookmarkStart w:id="41" w:name="_Toc12737"/>
      <w:r>
        <w:rPr>
          <w:color w:val="000000" w:themeColor="text1"/>
          <w:highlight w:val="none"/>
          <w14:textFill>
            <w14:solidFill>
              <w14:schemeClr w14:val="tx1"/>
            </w14:solidFill>
          </w14:textFill>
        </w:rPr>
        <w:t xml:space="preserve">1 </w:t>
      </w:r>
      <w:r>
        <w:rPr>
          <w:rFonts w:hint="eastAsia"/>
          <w:color w:val="000000" w:themeColor="text1"/>
          <w:sz w:val="24"/>
          <w:szCs w:val="24"/>
          <w:highlight w:val="none"/>
          <w14:textFill>
            <w14:solidFill>
              <w14:schemeClr w14:val="tx1"/>
            </w14:solidFill>
          </w14:textFill>
        </w:rPr>
        <w:t>一般要求</w:t>
      </w:r>
      <w:bookmarkEnd w:id="38"/>
      <w:bookmarkEnd w:id="40"/>
      <w:bookmarkEnd w:id="41"/>
    </w:p>
    <w:p w14:paraId="104AE67B">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2" w:name="_Toc470861328"/>
      <w:r>
        <w:rPr>
          <w:color w:val="000000" w:themeColor="text1"/>
          <w:highlight w:val="none"/>
          <w14:textFill>
            <w14:solidFill>
              <w14:schemeClr w14:val="tx1"/>
            </w14:solidFill>
          </w14:textFill>
        </w:rPr>
        <w:t xml:space="preserve">1.1 </w:t>
      </w:r>
      <w:r>
        <w:rPr>
          <w:rFonts w:hint="eastAsia"/>
          <w:color w:val="000000" w:themeColor="text1"/>
          <w:highlight w:val="none"/>
          <w14:textFill>
            <w14:solidFill>
              <w14:schemeClr w14:val="tx1"/>
            </w14:solidFill>
          </w14:textFill>
        </w:rPr>
        <w:t>本章节规定了合同设备的供货范围，投标人保证提供的设备为全新的、先进的、成熟的、完整的和安全可靠的，且设备的技术经济性能符合本技术规范书的要求。</w:t>
      </w:r>
      <w:bookmarkEnd w:id="42"/>
    </w:p>
    <w:p w14:paraId="29346B29">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3" w:name="_Toc470861329"/>
      <w:r>
        <w:rPr>
          <w:color w:val="000000" w:themeColor="text1"/>
          <w:highlight w:val="none"/>
          <w14:textFill>
            <w14:solidFill>
              <w14:schemeClr w14:val="tx1"/>
            </w14:solidFill>
          </w14:textFill>
        </w:rPr>
        <w:t xml:space="preserve">1.2 </w:t>
      </w:r>
      <w:r>
        <w:rPr>
          <w:rFonts w:hint="eastAsia"/>
          <w:color w:val="000000" w:themeColor="text1"/>
          <w:highlight w:val="none"/>
          <w14:textFill>
            <w14:solidFill>
              <w14:schemeClr w14:val="tx1"/>
            </w14:solidFill>
          </w14:textFill>
        </w:rPr>
        <w:t>投标人所提供设备应提供三年原厂服务承诺函，包括损坏件的免费更换服务。</w:t>
      </w:r>
      <w:bookmarkEnd w:id="43"/>
    </w:p>
    <w:p w14:paraId="7F247CF3">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4" w:name="_Toc470861330"/>
      <w:r>
        <w:rPr>
          <w:color w:val="000000" w:themeColor="text1"/>
          <w:highlight w:val="none"/>
          <w14:textFill>
            <w14:solidFill>
              <w14:schemeClr w14:val="tx1"/>
            </w14:solidFill>
          </w14:textFill>
        </w:rPr>
        <w:t xml:space="preserve">1.3 </w:t>
      </w:r>
      <w:r>
        <w:rPr>
          <w:rFonts w:hint="eastAsia"/>
          <w:color w:val="000000" w:themeColor="text1"/>
          <w:highlight w:val="none"/>
          <w14:textFill>
            <w14:solidFill>
              <w14:schemeClr w14:val="tx1"/>
            </w14:solidFill>
          </w14:textFill>
        </w:rPr>
        <w:t>投标人提供详细供货清单，清单中依此说明型号、数量、产地、生产厂家等内容。对于属于整套设备运行和施工所必需的部件，即使本合同附件未列出和</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或数目不足，投标人仍须在执行的同时补足。</w:t>
      </w:r>
      <w:bookmarkEnd w:id="44"/>
    </w:p>
    <w:p w14:paraId="4747C408">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5" w:name="_Toc470861331"/>
      <w:r>
        <w:rPr>
          <w:color w:val="000000" w:themeColor="text1"/>
          <w:highlight w:val="none"/>
          <w14:textFill>
            <w14:solidFill>
              <w14:schemeClr w14:val="tx1"/>
            </w14:solidFill>
          </w14:textFill>
        </w:rPr>
        <w:t xml:space="preserve">1.4 </w:t>
      </w:r>
      <w:r>
        <w:rPr>
          <w:rFonts w:hint="eastAsia"/>
          <w:color w:val="000000" w:themeColor="text1"/>
          <w:highlight w:val="none"/>
          <w14:textFill>
            <w14:solidFill>
              <w14:schemeClr w14:val="tx1"/>
            </w14:solidFill>
          </w14:textFill>
        </w:rPr>
        <w:t>所有本工程安装、调试、投入正常运行所必须的各类附件及材料均包含在总价中。除有特别注明外，所列数量均为本次要用设备数量，在施工过程中招标人根据实际情况对设备数量进行增减。</w:t>
      </w:r>
      <w:bookmarkEnd w:id="45"/>
    </w:p>
    <w:p w14:paraId="3B3681CC">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6" w:name="_Toc470861332"/>
      <w:r>
        <w:rPr>
          <w:color w:val="000000" w:themeColor="text1"/>
          <w:highlight w:val="none"/>
          <w14:textFill>
            <w14:solidFill>
              <w14:schemeClr w14:val="tx1"/>
            </w14:solidFill>
          </w14:textFill>
        </w:rPr>
        <w:t xml:space="preserve">1.5 </w:t>
      </w:r>
      <w:r>
        <w:rPr>
          <w:rFonts w:hint="eastAsia"/>
          <w:color w:val="000000" w:themeColor="text1"/>
          <w:highlight w:val="none"/>
          <w14:textFill>
            <w14:solidFill>
              <w14:schemeClr w14:val="tx1"/>
            </w14:solidFill>
          </w14:textFill>
        </w:rPr>
        <w:t>提供运行所需备品备件，并在合同中给出具体清单。</w:t>
      </w:r>
      <w:bookmarkEnd w:id="46"/>
    </w:p>
    <w:p w14:paraId="5F13661E">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7" w:name="_Toc470861333"/>
      <w:r>
        <w:rPr>
          <w:color w:val="000000" w:themeColor="text1"/>
          <w:highlight w:val="none"/>
          <w14:textFill>
            <w14:solidFill>
              <w14:schemeClr w14:val="tx1"/>
            </w14:solidFill>
          </w14:textFill>
        </w:rPr>
        <w:t xml:space="preserve">1.6 </w:t>
      </w:r>
      <w:r>
        <w:rPr>
          <w:rFonts w:hint="eastAsia"/>
          <w:color w:val="000000" w:themeColor="text1"/>
          <w:highlight w:val="none"/>
          <w14:textFill>
            <w14:solidFill>
              <w14:schemeClr w14:val="tx1"/>
            </w14:solidFill>
          </w14:textFill>
        </w:rPr>
        <w:t>投标人应列出各设备详细清单，并注明设备产地。</w:t>
      </w:r>
      <w:bookmarkEnd w:id="47"/>
    </w:p>
    <w:p w14:paraId="7C4A9615">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8" w:name="_Toc470861335"/>
      <w:r>
        <w:rPr>
          <w:color w:val="000000" w:themeColor="text1"/>
          <w:highlight w:val="none"/>
          <w14:textFill>
            <w14:solidFill>
              <w14:schemeClr w14:val="tx1"/>
            </w14:solidFill>
          </w14:textFill>
        </w:rPr>
        <w:t xml:space="preserve">1.7 </w:t>
      </w:r>
      <w:r>
        <w:rPr>
          <w:rFonts w:hint="eastAsia"/>
          <w:color w:val="000000" w:themeColor="text1"/>
          <w:highlight w:val="none"/>
          <w14:textFill>
            <w14:solidFill>
              <w14:schemeClr w14:val="tx1"/>
            </w14:solidFill>
          </w14:textFill>
        </w:rPr>
        <w:t>设备不仅限于下表所列，投标人应根据技术要求确定实际设备。</w:t>
      </w:r>
      <w:bookmarkEnd w:id="48"/>
    </w:p>
    <w:p w14:paraId="4B31ECDC">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bookmarkStart w:id="49" w:name="_Toc470861336"/>
      <w:r>
        <w:rPr>
          <w:color w:val="000000" w:themeColor="text1"/>
          <w:highlight w:val="none"/>
          <w14:textFill>
            <w14:solidFill>
              <w14:schemeClr w14:val="tx1"/>
            </w14:solidFill>
          </w14:textFill>
        </w:rPr>
        <w:t xml:space="preserve">1.8 </w:t>
      </w:r>
      <w:r>
        <w:rPr>
          <w:rFonts w:hint="eastAsia"/>
          <w:color w:val="000000" w:themeColor="text1"/>
          <w:highlight w:val="none"/>
          <w14:textFill>
            <w14:solidFill>
              <w14:schemeClr w14:val="tx1"/>
            </w14:solidFill>
          </w14:textFill>
        </w:rPr>
        <w:t>投标人负责所供设备的安装调试工作。</w:t>
      </w:r>
      <w:bookmarkEnd w:id="49"/>
      <w:bookmarkStart w:id="50" w:name="_Toc271212520"/>
      <w:bookmarkStart w:id="51" w:name="_Toc271033442"/>
    </w:p>
    <w:p w14:paraId="69FA4208">
      <w:pPr>
        <w:pStyle w:val="4"/>
        <w:rPr>
          <w:color w:val="000000" w:themeColor="text1"/>
          <w:highlight w:val="none"/>
          <w14:textFill>
            <w14:solidFill>
              <w14:schemeClr w14:val="tx1"/>
            </w14:solidFill>
          </w14:textFill>
        </w:rPr>
      </w:pPr>
      <w:bookmarkStart w:id="52" w:name="_Toc171002368"/>
      <w:bookmarkStart w:id="53" w:name="_Toc14557"/>
      <w:r>
        <w:rPr>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供货</w:t>
      </w:r>
      <w:bookmarkEnd w:id="50"/>
      <w:bookmarkEnd w:id="51"/>
      <w:r>
        <w:rPr>
          <w:rFonts w:hint="eastAsia"/>
          <w:color w:val="000000" w:themeColor="text1"/>
          <w:highlight w:val="none"/>
          <w14:textFill>
            <w14:solidFill>
              <w14:schemeClr w14:val="tx1"/>
            </w14:solidFill>
          </w14:textFill>
        </w:rPr>
        <w:t>范围</w:t>
      </w:r>
      <w:bookmarkEnd w:id="52"/>
      <w:bookmarkEnd w:id="53"/>
    </w:p>
    <w:p w14:paraId="7263F084">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投标人的基本供货范围是功能完整的</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显示系统设备与材料，包含</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显示系统硬件、软件设备以及安装过程中所必须的桥架、电缆保护管、线缆等安装辅件。投标人应确保供货范围完整，以能满足用使用要求为原则，在技术规范中涉及的供货要求也作为本供货范围的补充，若在安装、调试、运行中发现缺项（属投标人供货范围）由投标人补充，并不增加任何费用。</w:t>
      </w:r>
    </w:p>
    <w:p w14:paraId="488058D2">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2.1 </w:t>
      </w:r>
      <w:r>
        <w:rPr>
          <w:rFonts w:hint="eastAsia"/>
          <w:color w:val="000000" w:themeColor="text1"/>
          <w:highlight w:val="none"/>
          <w14:textFill>
            <w14:solidFill>
              <w14:schemeClr w14:val="tx1"/>
            </w14:solidFill>
          </w14:textFill>
        </w:rPr>
        <w:t>供货清单（</w:t>
      </w:r>
      <w:r>
        <w:rPr>
          <w:rFonts w:hint="eastAsia"/>
          <w:color w:val="000000" w:themeColor="text1"/>
          <w:highlight w:val="none"/>
          <w:lang w:val="en-US" w:eastAsia="zh-CN"/>
          <w14:textFill>
            <w14:solidFill>
              <w14:schemeClr w14:val="tx1"/>
            </w14:solidFill>
          </w14:textFill>
        </w:rPr>
        <w:t>大屏，</w:t>
      </w:r>
      <w:r>
        <w:rPr>
          <w:rFonts w:hint="eastAsia"/>
          <w:color w:val="000000" w:themeColor="text1"/>
          <w:highlight w:val="none"/>
          <w14:textFill>
            <w14:solidFill>
              <w14:schemeClr w14:val="tx1"/>
            </w14:solidFill>
          </w14:textFill>
        </w:rPr>
        <w:t>具体由投标人细化）</w:t>
      </w:r>
    </w:p>
    <w:tbl>
      <w:tblPr>
        <w:tblStyle w:val="25"/>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268"/>
        <w:gridCol w:w="1276"/>
        <w:gridCol w:w="850"/>
        <w:gridCol w:w="4398"/>
      </w:tblGrid>
      <w:tr w14:paraId="394A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blHeader/>
          <w:jc w:val="center"/>
        </w:trPr>
        <w:tc>
          <w:tcPr>
            <w:tcW w:w="720" w:type="dxa"/>
            <w:vAlign w:val="center"/>
          </w:tcPr>
          <w:p w14:paraId="38F3A933">
            <w:pPr>
              <w:pStyle w:val="41"/>
              <w:widowControl/>
              <w:spacing w:line="360" w:lineRule="auto"/>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序号</w:t>
            </w:r>
          </w:p>
        </w:tc>
        <w:tc>
          <w:tcPr>
            <w:tcW w:w="2268" w:type="dxa"/>
            <w:vAlign w:val="center"/>
          </w:tcPr>
          <w:p w14:paraId="4BFB2F09">
            <w:pPr>
              <w:pStyle w:val="41"/>
              <w:widowControl/>
              <w:spacing w:line="360" w:lineRule="auto"/>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名称</w:t>
            </w:r>
          </w:p>
        </w:tc>
        <w:tc>
          <w:tcPr>
            <w:tcW w:w="1276" w:type="dxa"/>
            <w:vAlign w:val="center"/>
          </w:tcPr>
          <w:p w14:paraId="373F7EEA">
            <w:pPr>
              <w:pStyle w:val="41"/>
              <w:widowControl/>
              <w:spacing w:line="360" w:lineRule="auto"/>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数量</w:t>
            </w:r>
          </w:p>
        </w:tc>
        <w:tc>
          <w:tcPr>
            <w:tcW w:w="850" w:type="dxa"/>
            <w:vAlign w:val="center"/>
          </w:tcPr>
          <w:p w14:paraId="25A4BAFD">
            <w:pPr>
              <w:pStyle w:val="41"/>
              <w:widowControl/>
              <w:spacing w:line="360" w:lineRule="auto"/>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单位</w:t>
            </w:r>
          </w:p>
        </w:tc>
        <w:tc>
          <w:tcPr>
            <w:tcW w:w="4398" w:type="dxa"/>
            <w:vAlign w:val="center"/>
          </w:tcPr>
          <w:p w14:paraId="79A940BB">
            <w:pPr>
              <w:pStyle w:val="41"/>
              <w:widowControl/>
              <w:spacing w:line="360" w:lineRule="auto"/>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备注</w:t>
            </w:r>
          </w:p>
        </w:tc>
      </w:tr>
      <w:tr w14:paraId="244B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720" w:type="dxa"/>
            <w:vAlign w:val="center"/>
          </w:tcPr>
          <w:p w14:paraId="08363D59">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2268" w:type="dxa"/>
            <w:vAlign w:val="center"/>
          </w:tcPr>
          <w:p w14:paraId="4AA06864">
            <w:pPr>
              <w:pStyle w:val="41"/>
              <w:spacing w:line="360" w:lineRule="auto"/>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LED</w:t>
            </w:r>
            <w:r>
              <w:rPr>
                <w:rFonts w:hint="eastAsia" w:ascii="宋体" w:hAnsi="宋体" w:cs="Arial"/>
                <w:color w:val="000000" w:themeColor="text1"/>
                <w:highlight w:val="none"/>
                <w14:textFill>
                  <w14:solidFill>
                    <w14:schemeClr w14:val="tx1"/>
                  </w14:solidFill>
                </w14:textFill>
              </w:rPr>
              <w:t>显示屏</w:t>
            </w:r>
          </w:p>
        </w:tc>
        <w:tc>
          <w:tcPr>
            <w:tcW w:w="1276" w:type="dxa"/>
            <w:vAlign w:val="center"/>
          </w:tcPr>
          <w:p w14:paraId="3861B242">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eastAsia="宋体" w:cs="宋体"/>
                <w:color w:val="000000"/>
                <w:spacing w:val="-4"/>
                <w:sz w:val="21"/>
                <w:szCs w:val="21"/>
                <w:highlight w:val="none"/>
              </w:rPr>
              <w:t>约</w:t>
            </w:r>
            <w:r>
              <w:rPr>
                <w:rFonts w:hint="eastAsia" w:ascii="宋体" w:hAnsi="宋体" w:eastAsia="宋体" w:cs="宋体"/>
                <w:color w:val="000000"/>
                <w:spacing w:val="-4"/>
                <w:sz w:val="21"/>
                <w:szCs w:val="21"/>
                <w:highlight w:val="none"/>
                <w:lang w:val="en-US" w:eastAsia="zh-CN"/>
              </w:rPr>
              <w:t>50.22</w:t>
            </w:r>
          </w:p>
        </w:tc>
        <w:tc>
          <w:tcPr>
            <w:tcW w:w="850" w:type="dxa"/>
          </w:tcPr>
          <w:p w14:paraId="41EE64B3">
            <w:pPr>
              <w:pStyle w:val="41"/>
              <w:widowControl/>
              <w:spacing w:line="360" w:lineRule="auto"/>
              <w:jc w:val="center"/>
              <w:rPr>
                <w:rFonts w:ascii="宋体" w:hAnsi="宋体" w:cs="宋体"/>
                <w:color w:val="000000" w:themeColor="text1"/>
                <w:highlight w:val="none"/>
                <w:vertAlign w:val="superscript"/>
                <w14:textFill>
                  <w14:solidFill>
                    <w14:schemeClr w14:val="tx1"/>
                  </w14:solidFill>
                </w14:textFill>
              </w:rPr>
            </w:pPr>
            <w:r>
              <w:rPr>
                <w:rFonts w:ascii="宋体" w:hAnsi="宋体" w:cs="宋体"/>
                <w:color w:val="000000" w:themeColor="text1"/>
                <w:highlight w:val="none"/>
                <w14:textFill>
                  <w14:solidFill>
                    <w14:schemeClr w14:val="tx1"/>
                  </w14:solidFill>
                </w14:textFill>
              </w:rPr>
              <w:t>m</w:t>
            </w:r>
            <w:r>
              <w:rPr>
                <w:rFonts w:ascii="宋体" w:hAnsi="宋体" w:cs="宋体"/>
                <w:color w:val="000000" w:themeColor="text1"/>
                <w:highlight w:val="none"/>
                <w:vertAlign w:val="superscript"/>
                <w14:textFill>
                  <w14:solidFill>
                    <w14:schemeClr w14:val="tx1"/>
                  </w14:solidFill>
                </w14:textFill>
              </w:rPr>
              <w:t>2</w:t>
            </w:r>
          </w:p>
        </w:tc>
        <w:tc>
          <w:tcPr>
            <w:tcW w:w="4398" w:type="dxa"/>
            <w:vMerge w:val="restart"/>
            <w:vAlign w:val="center"/>
          </w:tcPr>
          <w:p w14:paraId="7B3C4B6C">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4"/>
                <w:highlight w:val="none"/>
                <w:lang w:val="en-US" w:eastAsia="zh-CN"/>
                <w14:textFill>
                  <w14:solidFill>
                    <w14:schemeClr w14:val="tx1"/>
                  </w14:solidFill>
                </w14:textFill>
              </w:rPr>
              <w:t>同一优质品牌</w:t>
            </w:r>
          </w:p>
        </w:tc>
      </w:tr>
      <w:tr w14:paraId="44EC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vAlign w:val="center"/>
          </w:tcPr>
          <w:p w14:paraId="255402D5">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2268" w:type="dxa"/>
            <w:vAlign w:val="center"/>
          </w:tcPr>
          <w:p w14:paraId="0E99D532">
            <w:pPr>
              <w:pStyle w:val="41"/>
              <w:spacing w:line="360" w:lineRule="auto"/>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显示屏控制卡</w:t>
            </w:r>
          </w:p>
        </w:tc>
        <w:tc>
          <w:tcPr>
            <w:tcW w:w="1276" w:type="dxa"/>
            <w:vAlign w:val="center"/>
          </w:tcPr>
          <w:p w14:paraId="7082E6C5">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Pr>
          <w:p w14:paraId="43239571">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台</w:t>
            </w:r>
          </w:p>
        </w:tc>
        <w:tc>
          <w:tcPr>
            <w:tcW w:w="4398" w:type="dxa"/>
            <w:vMerge w:val="continue"/>
          </w:tcPr>
          <w:p w14:paraId="5B25F0AB">
            <w:pPr>
              <w:pStyle w:val="41"/>
              <w:spacing w:line="360" w:lineRule="auto"/>
              <w:ind w:firstLine="480" w:firstLineChars="200"/>
              <w:rPr>
                <w:rFonts w:ascii="宋体" w:hAnsi="宋体" w:cs="宋体"/>
                <w:color w:val="000000" w:themeColor="text1"/>
                <w:highlight w:val="none"/>
                <w14:textFill>
                  <w14:solidFill>
                    <w14:schemeClr w14:val="tx1"/>
                  </w14:solidFill>
                </w14:textFill>
              </w:rPr>
            </w:pPr>
          </w:p>
        </w:tc>
      </w:tr>
      <w:tr w14:paraId="1A9F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vAlign w:val="center"/>
          </w:tcPr>
          <w:p w14:paraId="5C7EA983">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2268" w:type="dxa"/>
            <w:vAlign w:val="center"/>
          </w:tcPr>
          <w:p w14:paraId="4685E5BF">
            <w:pPr>
              <w:pStyle w:val="41"/>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大屏处理器</w:t>
            </w:r>
          </w:p>
        </w:tc>
        <w:tc>
          <w:tcPr>
            <w:tcW w:w="1276" w:type="dxa"/>
            <w:vAlign w:val="center"/>
          </w:tcPr>
          <w:p w14:paraId="2A7CA6AD">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Pr>
          <w:p w14:paraId="13B8CD7E">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套</w:t>
            </w:r>
          </w:p>
        </w:tc>
        <w:tc>
          <w:tcPr>
            <w:tcW w:w="4398" w:type="dxa"/>
            <w:vMerge w:val="continue"/>
          </w:tcPr>
          <w:p w14:paraId="46D88811">
            <w:pPr>
              <w:pStyle w:val="41"/>
              <w:spacing w:line="360" w:lineRule="auto"/>
              <w:ind w:firstLine="480" w:firstLineChars="200"/>
              <w:rPr>
                <w:rFonts w:ascii="宋体" w:hAnsi="宋体" w:cs="宋体"/>
                <w:color w:val="000000" w:themeColor="text1"/>
                <w:highlight w:val="none"/>
                <w14:textFill>
                  <w14:solidFill>
                    <w14:schemeClr w14:val="tx1"/>
                  </w14:solidFill>
                </w14:textFill>
              </w:rPr>
            </w:pPr>
          </w:p>
        </w:tc>
      </w:tr>
      <w:tr w14:paraId="0E2B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vAlign w:val="center"/>
          </w:tcPr>
          <w:p w14:paraId="342F0DC7">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2268" w:type="dxa"/>
            <w:vAlign w:val="center"/>
          </w:tcPr>
          <w:p w14:paraId="1FE8FCA1">
            <w:pPr>
              <w:pStyle w:val="41"/>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控制软件一体机</w:t>
            </w:r>
          </w:p>
        </w:tc>
        <w:tc>
          <w:tcPr>
            <w:tcW w:w="1276" w:type="dxa"/>
            <w:vAlign w:val="center"/>
          </w:tcPr>
          <w:p w14:paraId="74FA0338">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Pr>
          <w:p w14:paraId="12F4BC31">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套</w:t>
            </w:r>
          </w:p>
        </w:tc>
        <w:tc>
          <w:tcPr>
            <w:tcW w:w="4398" w:type="dxa"/>
            <w:vMerge w:val="continue"/>
          </w:tcPr>
          <w:p w14:paraId="583DDA96">
            <w:pPr>
              <w:pStyle w:val="41"/>
              <w:widowControl/>
              <w:spacing w:line="360" w:lineRule="auto"/>
              <w:ind w:firstLine="480" w:firstLineChars="200"/>
              <w:rPr>
                <w:rFonts w:ascii="宋体" w:hAnsi="宋体" w:cs="宋体"/>
                <w:color w:val="000000" w:themeColor="text1"/>
                <w:highlight w:val="none"/>
                <w14:textFill>
                  <w14:solidFill>
                    <w14:schemeClr w14:val="tx1"/>
                  </w14:solidFill>
                </w14:textFill>
              </w:rPr>
            </w:pPr>
          </w:p>
        </w:tc>
      </w:tr>
      <w:tr w14:paraId="53CE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2F01AF9E">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5</w:t>
            </w:r>
          </w:p>
        </w:tc>
        <w:tc>
          <w:tcPr>
            <w:tcW w:w="2268" w:type="dxa"/>
            <w:tcBorders>
              <w:top w:val="single" w:color="auto" w:sz="4" w:space="0"/>
              <w:left w:val="single" w:color="auto" w:sz="4" w:space="0"/>
              <w:bottom w:val="single" w:color="auto" w:sz="4" w:space="0"/>
              <w:right w:val="single" w:color="auto" w:sz="4" w:space="0"/>
            </w:tcBorders>
            <w:vAlign w:val="center"/>
          </w:tcPr>
          <w:p w14:paraId="68160A41">
            <w:pPr>
              <w:pStyle w:val="41"/>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机柜</w:t>
            </w:r>
          </w:p>
        </w:tc>
        <w:tc>
          <w:tcPr>
            <w:tcW w:w="1276" w:type="dxa"/>
            <w:tcBorders>
              <w:top w:val="single" w:color="auto" w:sz="4" w:space="0"/>
              <w:left w:val="single" w:color="auto" w:sz="4" w:space="0"/>
              <w:bottom w:val="single" w:color="auto" w:sz="4" w:space="0"/>
              <w:right w:val="single" w:color="auto" w:sz="4" w:space="0"/>
            </w:tcBorders>
            <w:vAlign w:val="center"/>
          </w:tcPr>
          <w:p w14:paraId="277B2C6A">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top"/>
          </w:tcPr>
          <w:p w14:paraId="4B3636B7">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台</w:t>
            </w:r>
          </w:p>
        </w:tc>
        <w:tc>
          <w:tcPr>
            <w:tcW w:w="4398" w:type="dxa"/>
            <w:tcBorders>
              <w:top w:val="single" w:color="auto" w:sz="4" w:space="0"/>
              <w:left w:val="single" w:color="auto" w:sz="4" w:space="0"/>
              <w:bottom w:val="single" w:color="auto" w:sz="4" w:space="0"/>
              <w:right w:val="single" w:color="auto" w:sz="4" w:space="0"/>
            </w:tcBorders>
            <w:vAlign w:val="top"/>
          </w:tcPr>
          <w:p w14:paraId="649FF4F0">
            <w:pPr>
              <w:pStyle w:val="41"/>
              <w:widowControl/>
              <w:spacing w:line="360" w:lineRule="auto"/>
              <w:rPr>
                <w:rFonts w:hint="eastAsia" w:ascii="宋体" w:hAnsi="宋体" w:cs="宋体"/>
                <w:color w:val="000000" w:themeColor="text1"/>
                <w:highlight w:val="none"/>
                <w14:textFill>
                  <w14:solidFill>
                    <w14:schemeClr w14:val="tx1"/>
                  </w14:solidFill>
                </w14:textFill>
              </w:rPr>
            </w:pPr>
          </w:p>
        </w:tc>
      </w:tr>
      <w:tr w14:paraId="0113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65470C13">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6</w:t>
            </w:r>
          </w:p>
        </w:tc>
        <w:tc>
          <w:tcPr>
            <w:tcW w:w="2268" w:type="dxa"/>
            <w:tcBorders>
              <w:top w:val="single" w:color="auto" w:sz="4" w:space="0"/>
              <w:left w:val="single" w:color="auto" w:sz="4" w:space="0"/>
              <w:bottom w:val="single" w:color="auto" w:sz="4" w:space="0"/>
              <w:right w:val="single" w:color="auto" w:sz="4" w:space="0"/>
            </w:tcBorders>
            <w:vAlign w:val="center"/>
          </w:tcPr>
          <w:p w14:paraId="10D45115">
            <w:pPr>
              <w:pStyle w:val="41"/>
              <w:widowControl/>
              <w:spacing w:line="360" w:lineRule="auto"/>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交换机</w:t>
            </w:r>
          </w:p>
        </w:tc>
        <w:tc>
          <w:tcPr>
            <w:tcW w:w="1276" w:type="dxa"/>
            <w:tcBorders>
              <w:top w:val="single" w:color="auto" w:sz="4" w:space="0"/>
              <w:left w:val="single" w:color="auto" w:sz="4" w:space="0"/>
              <w:bottom w:val="single" w:color="auto" w:sz="4" w:space="0"/>
              <w:right w:val="single" w:color="auto" w:sz="4" w:space="0"/>
            </w:tcBorders>
            <w:vAlign w:val="center"/>
          </w:tcPr>
          <w:p w14:paraId="78F134EC">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top"/>
          </w:tcPr>
          <w:p w14:paraId="6DD01F63">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台</w:t>
            </w:r>
          </w:p>
        </w:tc>
        <w:tc>
          <w:tcPr>
            <w:tcW w:w="4398" w:type="dxa"/>
            <w:tcBorders>
              <w:top w:val="single" w:color="auto" w:sz="4" w:space="0"/>
              <w:left w:val="single" w:color="auto" w:sz="4" w:space="0"/>
              <w:bottom w:val="single" w:color="auto" w:sz="4" w:space="0"/>
              <w:right w:val="single" w:color="auto" w:sz="4" w:space="0"/>
            </w:tcBorders>
            <w:vAlign w:val="top"/>
          </w:tcPr>
          <w:p w14:paraId="6B3705B9">
            <w:pPr>
              <w:pStyle w:val="41"/>
              <w:widowControl/>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spacing w:val="-4"/>
                <w:sz w:val="24"/>
                <w:szCs w:val="24"/>
                <w:highlight w:val="none"/>
              </w:rPr>
              <w:t>预留20%</w:t>
            </w:r>
            <w:r>
              <w:rPr>
                <w:rFonts w:hint="eastAsia" w:ascii="宋体" w:hAnsi="宋体" w:cs="宋体"/>
                <w:color w:val="000000"/>
                <w:spacing w:val="-4"/>
                <w:sz w:val="24"/>
                <w:szCs w:val="24"/>
                <w:highlight w:val="none"/>
                <w:lang w:val="en-US" w:eastAsia="zh-CN"/>
              </w:rPr>
              <w:t>接口</w:t>
            </w:r>
          </w:p>
        </w:tc>
      </w:tr>
      <w:tr w14:paraId="66FD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6857F4BD">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7</w:t>
            </w:r>
          </w:p>
        </w:tc>
        <w:tc>
          <w:tcPr>
            <w:tcW w:w="2268" w:type="dxa"/>
            <w:tcBorders>
              <w:top w:val="single" w:color="auto" w:sz="4" w:space="0"/>
              <w:left w:val="single" w:color="auto" w:sz="4" w:space="0"/>
              <w:bottom w:val="single" w:color="auto" w:sz="4" w:space="0"/>
              <w:right w:val="single" w:color="auto" w:sz="4" w:space="0"/>
            </w:tcBorders>
            <w:vAlign w:val="center"/>
          </w:tcPr>
          <w:p w14:paraId="3043AD49">
            <w:pPr>
              <w:pStyle w:val="41"/>
              <w:widowControl/>
              <w:spacing w:line="360" w:lineRule="auto"/>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配电箱</w:t>
            </w:r>
          </w:p>
        </w:tc>
        <w:tc>
          <w:tcPr>
            <w:tcW w:w="1276" w:type="dxa"/>
            <w:tcBorders>
              <w:top w:val="single" w:color="auto" w:sz="4" w:space="0"/>
              <w:left w:val="single" w:color="auto" w:sz="4" w:space="0"/>
              <w:bottom w:val="single" w:color="auto" w:sz="4" w:space="0"/>
              <w:right w:val="single" w:color="auto" w:sz="4" w:space="0"/>
            </w:tcBorders>
            <w:vAlign w:val="center"/>
          </w:tcPr>
          <w:p w14:paraId="3E72251E">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5ABF4A97">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台</w:t>
            </w:r>
          </w:p>
        </w:tc>
        <w:tc>
          <w:tcPr>
            <w:tcW w:w="4398" w:type="dxa"/>
            <w:tcBorders>
              <w:top w:val="single" w:color="auto" w:sz="4" w:space="0"/>
              <w:left w:val="single" w:color="auto" w:sz="4" w:space="0"/>
              <w:bottom w:val="single" w:color="auto" w:sz="4" w:space="0"/>
              <w:right w:val="single" w:color="auto" w:sz="4" w:space="0"/>
            </w:tcBorders>
            <w:vAlign w:val="top"/>
          </w:tcPr>
          <w:p w14:paraId="1740DAF9">
            <w:pPr>
              <w:pStyle w:val="41"/>
              <w:widowControl/>
              <w:spacing w:line="360" w:lineRule="auto"/>
              <w:jc w:val="left"/>
              <w:rPr>
                <w:rFonts w:ascii="宋体" w:hAnsi="宋体" w:cs="宋体"/>
                <w:color w:val="000000" w:themeColor="text1"/>
                <w:highlight w:val="none"/>
                <w14:textFill>
                  <w14:solidFill>
                    <w14:schemeClr w14:val="tx1"/>
                  </w14:solidFill>
                </w14:textFill>
              </w:rPr>
            </w:pPr>
            <w:r>
              <w:rPr>
                <w:rFonts w:hint="eastAsia" w:ascii="Arial" w:hAnsi="Arial" w:cs="Arial"/>
                <w:bCs/>
                <w:color w:val="000000" w:themeColor="text1"/>
                <w:szCs w:val="24"/>
                <w:highlight w:val="none"/>
                <w14:textFill>
                  <w14:solidFill>
                    <w14:schemeClr w14:val="tx1"/>
                  </w14:solidFill>
                </w14:textFill>
              </w:rPr>
              <w:t>定制40K</w:t>
            </w:r>
            <w:r>
              <w:rPr>
                <w:rFonts w:hint="eastAsia" w:ascii="Arial" w:hAnsi="Arial" w:cs="Arial"/>
                <w:bCs/>
                <w:color w:val="000000" w:themeColor="text1"/>
                <w:szCs w:val="24"/>
                <w:highlight w:val="none"/>
                <w:lang w:val="en-US" w:eastAsia="zh-CN"/>
                <w14:textFill>
                  <w14:solidFill>
                    <w14:schemeClr w14:val="tx1"/>
                  </w14:solidFill>
                </w14:textFill>
              </w:rPr>
              <w:t>W</w:t>
            </w:r>
            <w:r>
              <w:rPr>
                <w:rFonts w:hint="eastAsia" w:ascii="Arial" w:hAnsi="Arial" w:cs="Arial"/>
                <w:bCs/>
                <w:color w:val="000000" w:themeColor="text1"/>
                <w:szCs w:val="24"/>
                <w:highlight w:val="none"/>
                <w14:textFill>
                  <w14:solidFill>
                    <w14:schemeClr w14:val="tx1"/>
                  </w14:solidFill>
                </w14:textFill>
              </w:rPr>
              <w:t>配电</w:t>
            </w:r>
            <w:r>
              <w:rPr>
                <w:rFonts w:hint="eastAsia" w:ascii="Arial" w:hAnsi="Arial" w:cs="Arial"/>
                <w:bCs/>
                <w:color w:val="000000" w:themeColor="text1"/>
                <w:szCs w:val="24"/>
                <w:highlight w:val="none"/>
                <w:lang w:val="en-US" w:eastAsia="zh-CN"/>
                <w14:textFill>
                  <w14:solidFill>
                    <w14:schemeClr w14:val="tx1"/>
                  </w14:solidFill>
                </w14:textFill>
              </w:rPr>
              <w:t>箱</w:t>
            </w:r>
            <w:r>
              <w:rPr>
                <w:rFonts w:hint="eastAsia" w:ascii="Arial" w:hAnsi="Arial" w:cs="Arial"/>
                <w:bCs/>
                <w:color w:val="000000" w:themeColor="text1"/>
                <w:szCs w:val="24"/>
                <w:highlight w:val="none"/>
                <w:lang w:eastAsia="zh-CN"/>
                <w14:textFill>
                  <w14:solidFill>
                    <w14:schemeClr w14:val="tx1"/>
                  </w14:solidFill>
                </w14:textFill>
              </w:rPr>
              <w:t>，</w:t>
            </w:r>
            <w:r>
              <w:rPr>
                <w:rFonts w:hint="eastAsia" w:ascii="Arial" w:hAnsi="Arial" w:cs="Arial"/>
                <w:bCs/>
                <w:color w:val="000000" w:themeColor="text1"/>
                <w:szCs w:val="24"/>
                <w:highlight w:val="none"/>
                <w14:textFill>
                  <w14:solidFill>
                    <w14:schemeClr w14:val="tx1"/>
                  </w14:solidFill>
                </w14:textFill>
              </w:rPr>
              <w:t>配漏保、空开</w:t>
            </w:r>
          </w:p>
        </w:tc>
      </w:tr>
      <w:tr w14:paraId="54E6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51C7490E">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p>
        </w:tc>
        <w:tc>
          <w:tcPr>
            <w:tcW w:w="2268" w:type="dxa"/>
            <w:tcBorders>
              <w:top w:val="single" w:color="auto" w:sz="4" w:space="0"/>
              <w:left w:val="single" w:color="auto" w:sz="4" w:space="0"/>
              <w:bottom w:val="single" w:color="auto" w:sz="4" w:space="0"/>
              <w:right w:val="single" w:color="auto" w:sz="4" w:space="0"/>
            </w:tcBorders>
            <w:vAlign w:val="center"/>
          </w:tcPr>
          <w:p w14:paraId="2743C19F">
            <w:pPr>
              <w:pStyle w:val="41"/>
              <w:widowControl/>
              <w:spacing w:line="360" w:lineRule="auto"/>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线缆等辅材</w:t>
            </w:r>
          </w:p>
        </w:tc>
        <w:tc>
          <w:tcPr>
            <w:tcW w:w="1276" w:type="dxa"/>
            <w:tcBorders>
              <w:top w:val="single" w:color="auto" w:sz="4" w:space="0"/>
              <w:left w:val="single" w:color="auto" w:sz="4" w:space="0"/>
              <w:bottom w:val="single" w:color="auto" w:sz="4" w:space="0"/>
              <w:right w:val="single" w:color="auto" w:sz="4" w:space="0"/>
            </w:tcBorders>
            <w:vAlign w:val="center"/>
          </w:tcPr>
          <w:p w14:paraId="15AC32A8">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77188CE9">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套</w:t>
            </w:r>
          </w:p>
        </w:tc>
        <w:tc>
          <w:tcPr>
            <w:tcW w:w="4398" w:type="dxa"/>
            <w:tcBorders>
              <w:top w:val="single" w:color="auto" w:sz="4" w:space="0"/>
              <w:left w:val="single" w:color="auto" w:sz="4" w:space="0"/>
              <w:bottom w:val="single" w:color="auto" w:sz="4" w:space="0"/>
              <w:right w:val="single" w:color="auto" w:sz="4" w:space="0"/>
            </w:tcBorders>
            <w:vAlign w:val="top"/>
          </w:tcPr>
          <w:p w14:paraId="4C51C114">
            <w:pPr>
              <w:pStyle w:val="41"/>
              <w:widowControl/>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（至少包含但不限于）单元箱体之间的网线、电源线；发送卡到控制器的信号传输线缆、控制线缆</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设备外壳</w:t>
            </w:r>
            <w:r>
              <w:rPr>
                <w:rFonts w:hint="eastAsia" w:ascii="宋体" w:hAnsi="宋体" w:cs="宋体"/>
                <w:color w:val="000000" w:themeColor="text1"/>
                <w:highlight w:val="none"/>
                <w14:textFill>
                  <w14:solidFill>
                    <w14:schemeClr w14:val="tx1"/>
                  </w14:solidFill>
                </w14:textFill>
              </w:rPr>
              <w:t>接地线缆</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其他各系统（含老厂）接入大屏所需线缆（含网线、光纤、跳线等）及配件。</w:t>
            </w:r>
          </w:p>
        </w:tc>
      </w:tr>
      <w:tr w14:paraId="0327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7EAD4FBB">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9</w:t>
            </w:r>
          </w:p>
        </w:tc>
        <w:tc>
          <w:tcPr>
            <w:tcW w:w="2268" w:type="dxa"/>
            <w:tcBorders>
              <w:top w:val="single" w:color="auto" w:sz="4" w:space="0"/>
              <w:left w:val="single" w:color="auto" w:sz="4" w:space="0"/>
              <w:bottom w:val="single" w:color="auto" w:sz="4" w:space="0"/>
              <w:right w:val="single" w:color="auto" w:sz="4" w:space="0"/>
            </w:tcBorders>
            <w:vAlign w:val="top"/>
          </w:tcPr>
          <w:p w14:paraId="62171603">
            <w:pPr>
              <w:pStyle w:val="41"/>
              <w:widowControl/>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端子排</w:t>
            </w:r>
          </w:p>
        </w:tc>
        <w:tc>
          <w:tcPr>
            <w:tcW w:w="1276" w:type="dxa"/>
            <w:tcBorders>
              <w:top w:val="single" w:color="auto" w:sz="4" w:space="0"/>
              <w:left w:val="single" w:color="auto" w:sz="4" w:space="0"/>
              <w:bottom w:val="single" w:color="auto" w:sz="4" w:space="0"/>
              <w:right w:val="single" w:color="auto" w:sz="4" w:space="0"/>
            </w:tcBorders>
            <w:vAlign w:val="top"/>
          </w:tcPr>
          <w:p w14:paraId="429861F5">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0BBE6875">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套</w:t>
            </w:r>
          </w:p>
        </w:tc>
        <w:tc>
          <w:tcPr>
            <w:tcW w:w="4398" w:type="dxa"/>
            <w:tcBorders>
              <w:top w:val="single" w:color="auto" w:sz="4" w:space="0"/>
              <w:left w:val="single" w:color="auto" w:sz="4" w:space="0"/>
              <w:bottom w:val="single" w:color="auto" w:sz="4" w:space="0"/>
              <w:right w:val="single" w:color="auto" w:sz="4" w:space="0"/>
            </w:tcBorders>
            <w:vAlign w:val="top"/>
          </w:tcPr>
          <w:p w14:paraId="43378EEF">
            <w:pPr>
              <w:pStyle w:val="41"/>
              <w:widowControl/>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预留</w:t>
            </w:r>
            <w:r>
              <w:rPr>
                <w:rFonts w:hint="eastAsia" w:ascii="宋体" w:hAnsi="宋体" w:cs="宋体"/>
                <w:color w:val="000000" w:themeColor="text1"/>
                <w:highlight w:val="none"/>
                <w:lang w:eastAsia="zh-CN"/>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0</w:t>
            </w:r>
            <w:r>
              <w:rPr>
                <w:rFonts w:ascii="宋体" w:hAnsi="宋体" w:cs="宋体"/>
                <w:color w:val="000000" w:themeColor="text1"/>
                <w:highlight w:val="none"/>
                <w14:textFill>
                  <w14:solidFill>
                    <w14:schemeClr w14:val="tx1"/>
                  </w14:solidFill>
                </w14:textFill>
              </w:rPr>
              <w:t>%</w:t>
            </w:r>
          </w:p>
        </w:tc>
      </w:tr>
      <w:tr w14:paraId="25BC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26737F2C">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0</w:t>
            </w:r>
          </w:p>
        </w:tc>
        <w:tc>
          <w:tcPr>
            <w:tcW w:w="2268" w:type="dxa"/>
            <w:tcBorders>
              <w:top w:val="single" w:color="auto" w:sz="4" w:space="0"/>
              <w:left w:val="single" w:color="auto" w:sz="4" w:space="0"/>
              <w:bottom w:val="single" w:color="auto" w:sz="4" w:space="0"/>
              <w:right w:val="single" w:color="auto" w:sz="4" w:space="0"/>
            </w:tcBorders>
            <w:vAlign w:val="top"/>
          </w:tcPr>
          <w:p w14:paraId="68E203CF">
            <w:pPr>
              <w:pStyle w:val="41"/>
              <w:widowControl/>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大屏调试电脑</w:t>
            </w:r>
          </w:p>
        </w:tc>
        <w:tc>
          <w:tcPr>
            <w:tcW w:w="1276" w:type="dxa"/>
            <w:tcBorders>
              <w:top w:val="single" w:color="auto" w:sz="4" w:space="0"/>
              <w:left w:val="single" w:color="auto" w:sz="4" w:space="0"/>
              <w:bottom w:val="single" w:color="auto" w:sz="4" w:space="0"/>
              <w:right w:val="single" w:color="auto" w:sz="4" w:space="0"/>
            </w:tcBorders>
            <w:vAlign w:val="top"/>
          </w:tcPr>
          <w:p w14:paraId="51B2CBF6">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00337907">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台</w:t>
            </w:r>
          </w:p>
        </w:tc>
        <w:tc>
          <w:tcPr>
            <w:tcW w:w="4398" w:type="dxa"/>
            <w:tcBorders>
              <w:top w:val="single" w:color="auto" w:sz="4" w:space="0"/>
              <w:left w:val="single" w:color="auto" w:sz="4" w:space="0"/>
              <w:bottom w:val="single" w:color="auto" w:sz="4" w:space="0"/>
              <w:right w:val="single" w:color="auto" w:sz="4" w:space="0"/>
            </w:tcBorders>
            <w:vAlign w:val="top"/>
          </w:tcPr>
          <w:p w14:paraId="4E429681">
            <w:pPr>
              <w:pStyle w:val="41"/>
              <w:widowControl/>
              <w:spacing w:line="360" w:lineRule="auto"/>
              <w:jc w:val="lef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主流配置的笔记本电脑</w:t>
            </w:r>
          </w:p>
        </w:tc>
      </w:tr>
      <w:tr w14:paraId="1145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02AAD218">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ascii="宋体" w:hAnsi="宋体" w:cs="宋体"/>
                <w:color w:val="000000" w:themeColor="text1"/>
                <w:kern w:val="0"/>
                <w:sz w:val="24"/>
                <w:szCs w:val="2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1</w:t>
            </w:r>
          </w:p>
        </w:tc>
        <w:tc>
          <w:tcPr>
            <w:tcW w:w="2268" w:type="dxa"/>
            <w:tcBorders>
              <w:top w:val="single" w:color="auto" w:sz="4" w:space="0"/>
              <w:left w:val="single" w:color="auto" w:sz="4" w:space="0"/>
              <w:bottom w:val="single" w:color="auto" w:sz="4" w:space="0"/>
              <w:right w:val="single" w:color="auto" w:sz="4" w:space="0"/>
            </w:tcBorders>
            <w:vAlign w:val="center"/>
          </w:tcPr>
          <w:p w14:paraId="1262C948">
            <w:pPr>
              <w:pStyle w:val="41"/>
              <w:widowControl/>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szCs w:val="21"/>
                <w:highlight w:val="none"/>
                <w14:textFill>
                  <w14:solidFill>
                    <w14:schemeClr w14:val="tx1"/>
                  </w14:solidFill>
                </w14:textFill>
              </w:rPr>
              <w:t>屏体框架</w:t>
            </w:r>
          </w:p>
        </w:tc>
        <w:tc>
          <w:tcPr>
            <w:tcW w:w="1276" w:type="dxa"/>
            <w:tcBorders>
              <w:top w:val="single" w:color="auto" w:sz="4" w:space="0"/>
              <w:left w:val="single" w:color="auto" w:sz="4" w:space="0"/>
              <w:bottom w:val="single" w:color="auto" w:sz="4" w:space="0"/>
              <w:right w:val="single" w:color="auto" w:sz="4" w:space="0"/>
            </w:tcBorders>
            <w:vAlign w:val="center"/>
          </w:tcPr>
          <w:p w14:paraId="13B5A11F">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7BA380EF">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kern w:val="0"/>
                <w:sz w:val="24"/>
                <w:szCs w:val="21"/>
                <w:highlight w:val="none"/>
                <w14:textFill>
                  <w14:solidFill>
                    <w14:schemeClr w14:val="tx1"/>
                  </w14:solidFill>
                </w14:textFill>
              </w:rPr>
              <w:t>m</w:t>
            </w:r>
            <w:r>
              <w:rPr>
                <w:rFonts w:ascii="宋体" w:hAnsi="宋体" w:cs="宋体"/>
                <w:color w:val="000000" w:themeColor="text1"/>
                <w:kern w:val="0"/>
                <w:sz w:val="24"/>
                <w:szCs w:val="21"/>
                <w:highlight w:val="none"/>
                <w:vertAlign w:val="superscript"/>
                <w14:textFill>
                  <w14:solidFill>
                    <w14:schemeClr w14:val="tx1"/>
                  </w14:solidFill>
                </w14:textFill>
              </w:rPr>
              <w:t>2</w:t>
            </w:r>
          </w:p>
        </w:tc>
        <w:tc>
          <w:tcPr>
            <w:tcW w:w="4398" w:type="dxa"/>
            <w:tcBorders>
              <w:top w:val="single" w:color="auto" w:sz="4" w:space="0"/>
              <w:left w:val="single" w:color="auto" w:sz="4" w:space="0"/>
              <w:bottom w:val="single" w:color="auto" w:sz="4" w:space="0"/>
              <w:right w:val="single" w:color="auto" w:sz="4" w:space="0"/>
            </w:tcBorders>
            <w:vAlign w:val="top"/>
          </w:tcPr>
          <w:p w14:paraId="6B737B4A">
            <w:pPr>
              <w:pStyle w:val="41"/>
              <w:widowControl/>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szCs w:val="24"/>
                <w:highlight w:val="none"/>
              </w:rPr>
              <w:t>同一批出厂</w:t>
            </w:r>
            <w:r>
              <w:rPr>
                <w:rFonts w:hint="eastAsia" w:ascii="宋体" w:hAnsi="宋体" w:cs="宋体"/>
                <w:color w:val="000000"/>
                <w:szCs w:val="24"/>
                <w:highlight w:val="none"/>
                <w:lang w:eastAsia="zh-CN"/>
              </w:rPr>
              <w:t>，</w:t>
            </w:r>
            <w:r>
              <w:rPr>
                <w:rFonts w:hint="eastAsia"/>
                <w:color w:val="000000" w:themeColor="text1"/>
                <w:kern w:val="2"/>
                <w:szCs w:val="24"/>
                <w:highlight w:val="none"/>
                <w:lang w:val="en-US" w:eastAsia="zh-CN"/>
                <w14:textFill>
                  <w14:solidFill>
                    <w14:schemeClr w14:val="tx1"/>
                  </w14:solidFill>
                </w14:textFill>
              </w:rPr>
              <w:t>LED专业钢结构和外装饰包边</w:t>
            </w:r>
          </w:p>
        </w:tc>
      </w:tr>
      <w:tr w14:paraId="0C50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45525145">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2</w:t>
            </w:r>
          </w:p>
        </w:tc>
        <w:tc>
          <w:tcPr>
            <w:tcW w:w="2268" w:type="dxa"/>
            <w:tcBorders>
              <w:top w:val="single" w:color="auto" w:sz="4" w:space="0"/>
              <w:left w:val="single" w:color="auto" w:sz="4" w:space="0"/>
              <w:bottom w:val="single" w:color="auto" w:sz="4" w:space="0"/>
              <w:right w:val="single" w:color="auto" w:sz="4" w:space="0"/>
            </w:tcBorders>
            <w:vAlign w:val="center"/>
          </w:tcPr>
          <w:p w14:paraId="64330ABB">
            <w:pPr>
              <w:pStyle w:val="41"/>
              <w:widowControl/>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安装辅材</w:t>
            </w:r>
          </w:p>
        </w:tc>
        <w:tc>
          <w:tcPr>
            <w:tcW w:w="1276" w:type="dxa"/>
            <w:tcBorders>
              <w:top w:val="single" w:color="auto" w:sz="4" w:space="0"/>
              <w:left w:val="single" w:color="auto" w:sz="4" w:space="0"/>
              <w:bottom w:val="single" w:color="auto" w:sz="4" w:space="0"/>
              <w:right w:val="single" w:color="auto" w:sz="4" w:space="0"/>
            </w:tcBorders>
            <w:vAlign w:val="center"/>
          </w:tcPr>
          <w:p w14:paraId="5FDD5F21">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77F167F8">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套</w:t>
            </w:r>
          </w:p>
        </w:tc>
        <w:tc>
          <w:tcPr>
            <w:tcW w:w="4398" w:type="dxa"/>
            <w:tcBorders>
              <w:top w:val="single" w:color="auto" w:sz="4" w:space="0"/>
              <w:left w:val="single" w:color="auto" w:sz="4" w:space="0"/>
              <w:bottom w:val="single" w:color="auto" w:sz="4" w:space="0"/>
              <w:right w:val="single" w:color="auto" w:sz="4" w:space="0"/>
            </w:tcBorders>
            <w:vAlign w:val="top"/>
          </w:tcPr>
          <w:p w14:paraId="72F938C1">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含插线板、检修照明（</w:t>
            </w:r>
            <w:r>
              <w:rPr>
                <w:rFonts w:ascii="宋体" w:hAnsi="宋体" w:cs="宋体"/>
                <w:color w:val="000000" w:themeColor="text1"/>
                <w:highlight w:val="none"/>
                <w14:textFill>
                  <w14:solidFill>
                    <w14:schemeClr w14:val="tx1"/>
                  </w14:solidFill>
                </w14:textFill>
              </w:rPr>
              <w:t>LED灯）</w:t>
            </w:r>
            <w:r>
              <w:rPr>
                <w:rFonts w:hint="eastAsia" w:ascii="宋体" w:hAnsi="宋体" w:cs="宋体"/>
                <w:color w:val="000000" w:themeColor="text1"/>
                <w:highlight w:val="none"/>
                <w14:textFill>
                  <w14:solidFill>
                    <w14:schemeClr w14:val="tx1"/>
                  </w14:solidFill>
                </w14:textFill>
              </w:rPr>
              <w:t>等满足实际需要</w:t>
            </w:r>
          </w:p>
        </w:tc>
      </w:tr>
      <w:tr w14:paraId="5847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1F797E2E">
            <w:pPr>
              <w:pStyle w:val="41"/>
              <w:widowControl/>
              <w:spacing w:line="36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3</w:t>
            </w:r>
          </w:p>
        </w:tc>
        <w:tc>
          <w:tcPr>
            <w:tcW w:w="2268" w:type="dxa"/>
            <w:tcBorders>
              <w:top w:val="single" w:color="auto" w:sz="4" w:space="0"/>
              <w:left w:val="single" w:color="auto" w:sz="4" w:space="0"/>
              <w:bottom w:val="single" w:color="auto" w:sz="4" w:space="0"/>
              <w:right w:val="single" w:color="auto" w:sz="4" w:space="0"/>
            </w:tcBorders>
            <w:vAlign w:val="top"/>
          </w:tcPr>
          <w:p w14:paraId="0D75083B">
            <w:pPr>
              <w:pStyle w:val="41"/>
              <w:widowControl/>
              <w:spacing w:line="360" w:lineRule="auto"/>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安装、</w:t>
            </w:r>
            <w:r>
              <w:rPr>
                <w:rFonts w:hint="eastAsia" w:ascii="宋体" w:hAnsi="宋体" w:cs="宋体"/>
                <w:color w:val="000000" w:themeColor="text1"/>
                <w:highlight w:val="none"/>
                <w14:textFill>
                  <w14:solidFill>
                    <w14:schemeClr w14:val="tx1"/>
                  </w14:solidFill>
                </w14:textFill>
              </w:rPr>
              <w:t>调试、培训</w:t>
            </w:r>
          </w:p>
        </w:tc>
        <w:tc>
          <w:tcPr>
            <w:tcW w:w="1276" w:type="dxa"/>
            <w:tcBorders>
              <w:top w:val="single" w:color="auto" w:sz="4" w:space="0"/>
              <w:left w:val="single" w:color="auto" w:sz="4" w:space="0"/>
              <w:bottom w:val="single" w:color="auto" w:sz="4" w:space="0"/>
              <w:right w:val="single" w:color="auto" w:sz="4" w:space="0"/>
            </w:tcBorders>
            <w:vAlign w:val="top"/>
          </w:tcPr>
          <w:p w14:paraId="4215FA70">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6524BE5B">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4398" w:type="dxa"/>
            <w:tcBorders>
              <w:top w:val="single" w:color="auto" w:sz="4" w:space="0"/>
              <w:left w:val="single" w:color="auto" w:sz="4" w:space="0"/>
              <w:bottom w:val="single" w:color="auto" w:sz="4" w:space="0"/>
              <w:right w:val="single" w:color="auto" w:sz="4" w:space="0"/>
            </w:tcBorders>
            <w:vAlign w:val="top"/>
          </w:tcPr>
          <w:p w14:paraId="4989966C">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投标人细化</w:t>
            </w:r>
          </w:p>
        </w:tc>
      </w:tr>
      <w:tr w14:paraId="5C70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58CD909B">
            <w:pPr>
              <w:pStyle w:val="41"/>
              <w:widowControl/>
              <w:spacing w:line="360" w:lineRule="auto"/>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14</w:t>
            </w:r>
          </w:p>
        </w:tc>
        <w:tc>
          <w:tcPr>
            <w:tcW w:w="2268" w:type="dxa"/>
            <w:tcBorders>
              <w:top w:val="single" w:color="auto" w:sz="4" w:space="0"/>
              <w:left w:val="single" w:color="auto" w:sz="4" w:space="0"/>
              <w:bottom w:val="single" w:color="auto" w:sz="4" w:space="0"/>
              <w:right w:val="single" w:color="auto" w:sz="4" w:space="0"/>
            </w:tcBorders>
            <w:vAlign w:val="top"/>
          </w:tcPr>
          <w:p w14:paraId="47A4840F">
            <w:pPr>
              <w:pStyle w:val="41"/>
              <w:widowControl/>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其他</w:t>
            </w:r>
          </w:p>
        </w:tc>
        <w:tc>
          <w:tcPr>
            <w:tcW w:w="1276" w:type="dxa"/>
            <w:tcBorders>
              <w:top w:val="single" w:color="auto" w:sz="4" w:space="0"/>
              <w:left w:val="single" w:color="auto" w:sz="4" w:space="0"/>
              <w:bottom w:val="single" w:color="auto" w:sz="4" w:space="0"/>
              <w:right w:val="single" w:color="auto" w:sz="4" w:space="0"/>
            </w:tcBorders>
            <w:vAlign w:val="top"/>
          </w:tcPr>
          <w:p w14:paraId="1CA97E9A">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2E7F6B15">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4398" w:type="dxa"/>
            <w:tcBorders>
              <w:top w:val="single" w:color="auto" w:sz="4" w:space="0"/>
              <w:left w:val="single" w:color="auto" w:sz="4" w:space="0"/>
              <w:bottom w:val="single" w:color="auto" w:sz="4" w:space="0"/>
              <w:right w:val="single" w:color="auto" w:sz="4" w:space="0"/>
            </w:tcBorders>
            <w:vAlign w:val="top"/>
          </w:tcPr>
          <w:p w14:paraId="2D7C80EC">
            <w:pPr>
              <w:pStyle w:val="41"/>
              <w:widowControl/>
              <w:spacing w:line="360" w:lineRule="auto"/>
              <w:jc w:val="cente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投标人细化</w:t>
            </w:r>
          </w:p>
        </w:tc>
      </w:tr>
    </w:tbl>
    <w:p w14:paraId="70CA1C39">
      <w:pPr>
        <w:pStyle w:val="41"/>
        <w:widowControl/>
        <w:autoSpaceDE w:val="0"/>
        <w:autoSpaceDN w:val="0"/>
        <w:snapToGrid w:val="0"/>
        <w:spacing w:line="360" w:lineRule="auto"/>
        <w:textAlignment w:val="bottom"/>
        <w:rPr>
          <w:rFonts w:hint="default" w:eastAsia="宋体"/>
          <w:color w:val="auto"/>
          <w:highlight w:val="none"/>
          <w:lang w:val="en-US" w:eastAsia="zh-CN"/>
        </w:rPr>
      </w:pPr>
      <w:r>
        <w:rPr>
          <w:rFonts w:hint="eastAsia"/>
          <w:color w:val="auto"/>
          <w:highlight w:val="none"/>
          <w:lang w:val="en-US" w:eastAsia="zh-CN"/>
        </w:rPr>
        <w:t>供货清单2（操作台，具体</w:t>
      </w:r>
      <w:r>
        <w:rPr>
          <w:rFonts w:hint="eastAsia"/>
          <w:color w:val="auto"/>
          <w:highlight w:val="none"/>
        </w:rPr>
        <w:t>由投标人细化</w:t>
      </w:r>
      <w:r>
        <w:rPr>
          <w:rFonts w:hint="eastAsia"/>
          <w:color w:val="auto"/>
          <w:highlight w:val="none"/>
          <w:lang w:val="en-US" w:eastAsia="zh-CN"/>
        </w:rPr>
        <w:t>）</w:t>
      </w:r>
    </w:p>
    <w:tbl>
      <w:tblPr>
        <w:tblStyle w:val="26"/>
        <w:tblW w:w="9476" w:type="dxa"/>
        <w:tblInd w:w="-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250"/>
        <w:gridCol w:w="1283"/>
        <w:gridCol w:w="851"/>
        <w:gridCol w:w="4385"/>
      </w:tblGrid>
      <w:tr w14:paraId="5283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540040BF">
            <w:pPr>
              <w:pStyle w:val="41"/>
              <w:widowControl/>
              <w:spacing w:line="360" w:lineRule="auto"/>
              <w:jc w:val="center"/>
              <w:rPr>
                <w:color w:val="auto"/>
                <w:highlight w:val="none"/>
                <w:vertAlign w:val="baseline"/>
              </w:rPr>
            </w:pPr>
            <w:r>
              <w:rPr>
                <w:rFonts w:hint="eastAsia" w:ascii="宋体" w:hAnsi="宋体" w:cs="宋体"/>
                <w:b/>
                <w:color w:val="auto"/>
                <w:highlight w:val="none"/>
              </w:rPr>
              <w:t>序号</w:t>
            </w:r>
          </w:p>
        </w:tc>
        <w:tc>
          <w:tcPr>
            <w:tcW w:w="2250" w:type="dxa"/>
            <w:vAlign w:val="center"/>
          </w:tcPr>
          <w:p w14:paraId="57960F3F">
            <w:pPr>
              <w:pStyle w:val="41"/>
              <w:widowControl/>
              <w:spacing w:line="360" w:lineRule="auto"/>
              <w:jc w:val="center"/>
              <w:rPr>
                <w:color w:val="auto"/>
                <w:highlight w:val="none"/>
                <w:vertAlign w:val="baseline"/>
              </w:rPr>
            </w:pPr>
            <w:r>
              <w:rPr>
                <w:rFonts w:hint="eastAsia" w:ascii="宋体" w:hAnsi="宋体" w:cs="宋体"/>
                <w:b/>
                <w:color w:val="auto"/>
                <w:highlight w:val="none"/>
              </w:rPr>
              <w:t>名称</w:t>
            </w:r>
          </w:p>
        </w:tc>
        <w:tc>
          <w:tcPr>
            <w:tcW w:w="1283" w:type="dxa"/>
            <w:vAlign w:val="center"/>
          </w:tcPr>
          <w:p w14:paraId="1238F54D">
            <w:pPr>
              <w:pStyle w:val="41"/>
              <w:widowControl/>
              <w:spacing w:line="360" w:lineRule="auto"/>
              <w:jc w:val="center"/>
              <w:rPr>
                <w:color w:val="auto"/>
                <w:highlight w:val="none"/>
                <w:vertAlign w:val="baseline"/>
              </w:rPr>
            </w:pPr>
            <w:r>
              <w:rPr>
                <w:rFonts w:hint="eastAsia" w:ascii="宋体" w:hAnsi="宋体" w:cs="宋体"/>
                <w:b/>
                <w:color w:val="auto"/>
                <w:highlight w:val="none"/>
              </w:rPr>
              <w:t>数量</w:t>
            </w:r>
          </w:p>
        </w:tc>
        <w:tc>
          <w:tcPr>
            <w:tcW w:w="851" w:type="dxa"/>
            <w:vAlign w:val="center"/>
          </w:tcPr>
          <w:p w14:paraId="33192C43">
            <w:pPr>
              <w:pStyle w:val="41"/>
              <w:widowControl/>
              <w:spacing w:line="360" w:lineRule="auto"/>
              <w:jc w:val="center"/>
              <w:rPr>
                <w:color w:val="auto"/>
                <w:highlight w:val="none"/>
                <w:vertAlign w:val="baseline"/>
              </w:rPr>
            </w:pPr>
            <w:r>
              <w:rPr>
                <w:rFonts w:hint="eastAsia" w:ascii="宋体" w:hAnsi="宋体" w:cs="宋体"/>
                <w:b/>
                <w:color w:val="auto"/>
                <w:highlight w:val="none"/>
              </w:rPr>
              <w:t>单位</w:t>
            </w:r>
          </w:p>
        </w:tc>
        <w:tc>
          <w:tcPr>
            <w:tcW w:w="4385" w:type="dxa"/>
            <w:vAlign w:val="center"/>
          </w:tcPr>
          <w:p w14:paraId="47AE2C13">
            <w:pPr>
              <w:pStyle w:val="41"/>
              <w:widowControl/>
              <w:spacing w:line="360" w:lineRule="auto"/>
              <w:jc w:val="center"/>
              <w:rPr>
                <w:color w:val="auto"/>
                <w:highlight w:val="none"/>
                <w:vertAlign w:val="baseline"/>
              </w:rPr>
            </w:pPr>
            <w:r>
              <w:rPr>
                <w:rFonts w:hint="eastAsia" w:ascii="宋体" w:hAnsi="宋体" w:cs="宋体"/>
                <w:b/>
                <w:color w:val="auto"/>
                <w:highlight w:val="none"/>
              </w:rPr>
              <w:t>备注</w:t>
            </w:r>
          </w:p>
        </w:tc>
      </w:tr>
      <w:tr w14:paraId="7F7E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5551EA05">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2250" w:type="dxa"/>
            <w:vAlign w:val="center"/>
          </w:tcPr>
          <w:p w14:paraId="5956F105">
            <w:pPr>
              <w:widowControl/>
              <w:jc w:val="left"/>
              <w:rPr>
                <w:color w:val="auto"/>
                <w:highlight w:val="none"/>
                <w:vertAlign w:val="baseline"/>
              </w:rPr>
            </w:pPr>
            <w:r>
              <w:rPr>
                <w:rFonts w:hint="eastAsia" w:ascii="宋体" w:hAnsi="宋体" w:eastAsia="宋体" w:cs="宋体"/>
                <w:color w:val="auto"/>
                <w:spacing w:val="-4"/>
                <w:sz w:val="24"/>
                <w:szCs w:val="24"/>
                <w:highlight w:val="none"/>
              </w:rPr>
              <w:t>12席中控室环岛控制台(每席延米长12196mm；共14628mm）</w:t>
            </w:r>
          </w:p>
        </w:tc>
        <w:tc>
          <w:tcPr>
            <w:tcW w:w="1283" w:type="dxa"/>
            <w:vAlign w:val="center"/>
          </w:tcPr>
          <w:p w14:paraId="0C8D93C7">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1</w:t>
            </w:r>
          </w:p>
        </w:tc>
        <w:tc>
          <w:tcPr>
            <w:tcW w:w="851" w:type="dxa"/>
            <w:vAlign w:val="center"/>
          </w:tcPr>
          <w:p w14:paraId="0E2F0B69">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组</w:t>
            </w:r>
          </w:p>
        </w:tc>
        <w:tc>
          <w:tcPr>
            <w:tcW w:w="4385" w:type="dxa"/>
            <w:vAlign w:val="top"/>
          </w:tcPr>
          <w:p w14:paraId="533E5FBE">
            <w:pPr>
              <w:widowControl/>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（1）12席中控室控制台</w:t>
            </w:r>
          </w:p>
          <w:p w14:paraId="7F89ACF4">
            <w:pPr>
              <w:widowControl/>
              <w:jc w:val="left"/>
              <w:rPr>
                <w:color w:val="auto"/>
                <w:highlight w:val="none"/>
                <w:vertAlign w:val="baseline"/>
              </w:rPr>
            </w:pPr>
            <w:r>
              <w:rPr>
                <w:rFonts w:hint="eastAsia" w:ascii="宋体" w:hAnsi="宋体" w:eastAsia="宋体" w:cs="宋体"/>
                <w:color w:val="auto"/>
                <w:spacing w:val="-4"/>
                <w:sz w:val="24"/>
                <w:szCs w:val="24"/>
                <w:highlight w:val="none"/>
              </w:rPr>
              <w:t>（2）每席位配置两个液晶支臂（价格单报）。</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（3）每席配置1个强电面板，1个弱电面板含1个USB和1个RJ45数据接口。</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（4）每席内部可放置不少于1个PC托盘或KVM托盘。</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（5）每席配置一条国标8位5孔10APDU。</w:t>
            </w:r>
          </w:p>
        </w:tc>
      </w:tr>
      <w:tr w14:paraId="30E1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32B73974">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2</w:t>
            </w:r>
          </w:p>
        </w:tc>
        <w:tc>
          <w:tcPr>
            <w:tcW w:w="2250" w:type="dxa"/>
            <w:vAlign w:val="center"/>
          </w:tcPr>
          <w:p w14:paraId="47575D45">
            <w:pPr>
              <w:widowControl/>
              <w:jc w:val="left"/>
              <w:rPr>
                <w:color w:val="auto"/>
                <w:highlight w:val="none"/>
                <w:vertAlign w:val="baseline"/>
              </w:rPr>
            </w:pPr>
            <w:r>
              <w:rPr>
                <w:rFonts w:hint="eastAsia" w:ascii="宋体" w:hAnsi="宋体" w:eastAsia="宋体" w:cs="宋体"/>
                <w:color w:val="auto"/>
                <w:spacing w:val="-4"/>
                <w:sz w:val="24"/>
                <w:szCs w:val="24"/>
                <w:highlight w:val="none"/>
              </w:rPr>
              <w:t>8席中控室控制台(每席位1219mm，8席延米长共9752mm)</w:t>
            </w:r>
          </w:p>
        </w:tc>
        <w:tc>
          <w:tcPr>
            <w:tcW w:w="1283" w:type="dxa"/>
            <w:vAlign w:val="center"/>
          </w:tcPr>
          <w:p w14:paraId="35CA4475">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1</w:t>
            </w:r>
          </w:p>
        </w:tc>
        <w:tc>
          <w:tcPr>
            <w:tcW w:w="851" w:type="dxa"/>
            <w:vAlign w:val="center"/>
          </w:tcPr>
          <w:p w14:paraId="1C022BE9">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组</w:t>
            </w:r>
          </w:p>
        </w:tc>
        <w:tc>
          <w:tcPr>
            <w:tcW w:w="4385" w:type="dxa"/>
            <w:vAlign w:val="top"/>
          </w:tcPr>
          <w:p w14:paraId="696A7DD6">
            <w:pPr>
              <w:widowControl/>
              <w:jc w:val="left"/>
              <w:rPr>
                <w:color w:val="auto"/>
                <w:highlight w:val="none"/>
                <w:vertAlign w:val="baseline"/>
              </w:rPr>
            </w:pPr>
            <w:r>
              <w:rPr>
                <w:rFonts w:hint="eastAsia" w:ascii="宋体" w:hAnsi="宋体" w:eastAsia="宋体" w:cs="宋体"/>
                <w:color w:val="auto"/>
                <w:spacing w:val="-4"/>
                <w:sz w:val="24"/>
                <w:szCs w:val="24"/>
                <w:highlight w:val="none"/>
              </w:rPr>
              <w:t>（1）8席中控室控制台(每席位延米不低于1219mm)。</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（2）每席位配置两个液晶支臂（价格单报）。</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（3）每席配置1个强电面板，1个弱电面板含1个USB和1个RJ45数据接口。</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（4）每席内部可放置不少于1个PC托盘或KVM托盘。</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（5）每席配置一条国标8位5孔10A PDU。</w:t>
            </w:r>
          </w:p>
        </w:tc>
      </w:tr>
      <w:tr w14:paraId="2024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3033981F">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3</w:t>
            </w:r>
          </w:p>
        </w:tc>
        <w:tc>
          <w:tcPr>
            <w:tcW w:w="2250" w:type="dxa"/>
            <w:vAlign w:val="center"/>
          </w:tcPr>
          <w:p w14:paraId="074836A2">
            <w:pPr>
              <w:widowControl/>
              <w:jc w:val="left"/>
              <w:rPr>
                <w:color w:val="auto"/>
                <w:highlight w:val="none"/>
                <w:vertAlign w:val="baseline"/>
              </w:rPr>
            </w:pPr>
            <w:r>
              <w:rPr>
                <w:rFonts w:hint="eastAsia" w:ascii="宋体" w:hAnsi="宋体" w:eastAsia="宋体" w:cs="宋体"/>
                <w:color w:val="auto"/>
                <w:spacing w:val="-4"/>
                <w:sz w:val="24"/>
                <w:szCs w:val="24"/>
                <w:highlight w:val="none"/>
              </w:rPr>
              <w:t>工程师室操作台3席位(每席位1219mm，3席延米长共3657mm)</w:t>
            </w:r>
          </w:p>
        </w:tc>
        <w:tc>
          <w:tcPr>
            <w:tcW w:w="1283" w:type="dxa"/>
            <w:vAlign w:val="center"/>
          </w:tcPr>
          <w:p w14:paraId="12D4F5F7">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1</w:t>
            </w:r>
          </w:p>
        </w:tc>
        <w:tc>
          <w:tcPr>
            <w:tcW w:w="851" w:type="dxa"/>
            <w:vAlign w:val="center"/>
          </w:tcPr>
          <w:p w14:paraId="313CA8FD">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组</w:t>
            </w:r>
          </w:p>
        </w:tc>
        <w:tc>
          <w:tcPr>
            <w:tcW w:w="4385" w:type="dxa"/>
            <w:vAlign w:val="top"/>
          </w:tcPr>
          <w:p w14:paraId="7F7CB40F">
            <w:pPr>
              <w:widowControl/>
              <w:jc w:val="left"/>
              <w:rPr>
                <w:color w:val="auto"/>
                <w:highlight w:val="none"/>
                <w:vertAlign w:val="baseline"/>
              </w:rPr>
            </w:pPr>
            <w:r>
              <w:rPr>
                <w:rFonts w:hint="eastAsia" w:ascii="宋体" w:hAnsi="宋体" w:eastAsia="宋体" w:cs="宋体"/>
                <w:color w:val="auto"/>
                <w:spacing w:val="-4"/>
                <w:sz w:val="24"/>
                <w:szCs w:val="24"/>
                <w:highlight w:val="none"/>
              </w:rPr>
              <w:t>（1）3席中控室控制台(每席位延米不低于1219mm)。</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（2）每席位配置两个液晶支臂（价格单报）。</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（3）每席配置1个强电面板，1个弱电面板含1个USB和1个RJ45数据接口。</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（4）每席内部可放置不少于1个PC托盘或KVM托盘。</w:t>
            </w:r>
            <w:r>
              <w:rPr>
                <w:rFonts w:hint="eastAsia" w:ascii="宋体" w:hAnsi="宋体" w:eastAsia="宋体" w:cs="宋体"/>
                <w:color w:val="auto"/>
                <w:spacing w:val="-4"/>
                <w:sz w:val="24"/>
                <w:szCs w:val="24"/>
                <w:highlight w:val="none"/>
              </w:rPr>
              <w:br w:type="textWrapping"/>
            </w:r>
            <w:r>
              <w:rPr>
                <w:rFonts w:hint="eastAsia" w:ascii="宋体" w:hAnsi="宋体" w:eastAsia="宋体" w:cs="宋体"/>
                <w:color w:val="auto"/>
                <w:spacing w:val="-4"/>
                <w:sz w:val="24"/>
                <w:szCs w:val="24"/>
                <w:highlight w:val="none"/>
              </w:rPr>
              <w:t>（5）每席配置一条国标8位5孔10A PDU。</w:t>
            </w:r>
          </w:p>
        </w:tc>
      </w:tr>
      <w:tr w14:paraId="7FF3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7" w:type="dxa"/>
            <w:vAlign w:val="center"/>
          </w:tcPr>
          <w:p w14:paraId="3E116FD8">
            <w:pPr>
              <w:jc w:val="center"/>
              <w:rPr>
                <w:rFonts w:hint="default" w:eastAsia="宋体"/>
                <w:color w:val="auto"/>
                <w:highlight w:val="none"/>
                <w:vertAlign w:val="baseline"/>
                <w:lang w:val="en-US" w:eastAsia="zh-CN"/>
              </w:rPr>
            </w:pPr>
            <w:r>
              <w:rPr>
                <w:rFonts w:hint="eastAsia"/>
                <w:color w:val="auto"/>
                <w:highlight w:val="none"/>
                <w:vertAlign w:val="baseline"/>
                <w:lang w:val="en-US" w:eastAsia="zh-CN"/>
              </w:rPr>
              <w:t>4</w:t>
            </w:r>
          </w:p>
        </w:tc>
        <w:tc>
          <w:tcPr>
            <w:tcW w:w="2250" w:type="dxa"/>
            <w:vAlign w:val="center"/>
          </w:tcPr>
          <w:p w14:paraId="03055FD9">
            <w:pPr>
              <w:widowControl/>
              <w:jc w:val="left"/>
              <w:rPr>
                <w:color w:val="auto"/>
                <w:highlight w:val="none"/>
                <w:vertAlign w:val="baseline"/>
              </w:rPr>
            </w:pPr>
            <w:r>
              <w:rPr>
                <w:rFonts w:hint="eastAsia" w:ascii="宋体" w:hAnsi="宋体" w:eastAsia="宋体" w:cs="宋体"/>
                <w:color w:val="auto"/>
                <w:spacing w:val="-4"/>
                <w:sz w:val="24"/>
                <w:szCs w:val="24"/>
                <w:highlight w:val="none"/>
              </w:rPr>
              <w:t>移动文件柜</w:t>
            </w:r>
          </w:p>
        </w:tc>
        <w:tc>
          <w:tcPr>
            <w:tcW w:w="1283" w:type="dxa"/>
            <w:vAlign w:val="center"/>
          </w:tcPr>
          <w:p w14:paraId="4FF30AE2">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20</w:t>
            </w:r>
          </w:p>
        </w:tc>
        <w:tc>
          <w:tcPr>
            <w:tcW w:w="851" w:type="dxa"/>
            <w:vAlign w:val="center"/>
          </w:tcPr>
          <w:p w14:paraId="7CAE963E">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个</w:t>
            </w:r>
          </w:p>
        </w:tc>
        <w:tc>
          <w:tcPr>
            <w:tcW w:w="4385" w:type="dxa"/>
            <w:vAlign w:val="center"/>
          </w:tcPr>
          <w:p w14:paraId="7F1246E8">
            <w:pPr>
              <w:widowControl/>
              <w:jc w:val="left"/>
              <w:rPr>
                <w:color w:val="auto"/>
                <w:highlight w:val="none"/>
                <w:vertAlign w:val="baseline"/>
              </w:rPr>
            </w:pPr>
            <w:r>
              <w:rPr>
                <w:rFonts w:hint="eastAsia" w:ascii="宋体" w:hAnsi="宋体" w:eastAsia="宋体" w:cs="宋体"/>
                <w:color w:val="auto"/>
                <w:spacing w:val="-4"/>
                <w:sz w:val="24"/>
                <w:szCs w:val="24"/>
                <w:highlight w:val="none"/>
              </w:rPr>
              <w:t>控制台配套喷涂工艺，全钣金材质</w:t>
            </w:r>
          </w:p>
        </w:tc>
      </w:tr>
      <w:tr w14:paraId="1679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07" w:type="dxa"/>
            <w:vAlign w:val="center"/>
          </w:tcPr>
          <w:p w14:paraId="70118442">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5</w:t>
            </w:r>
          </w:p>
        </w:tc>
        <w:tc>
          <w:tcPr>
            <w:tcW w:w="2250" w:type="dxa"/>
            <w:vAlign w:val="center"/>
          </w:tcPr>
          <w:p w14:paraId="1A823300">
            <w:pPr>
              <w:widowControl/>
              <w:jc w:val="left"/>
              <w:rPr>
                <w:color w:val="auto"/>
                <w:highlight w:val="none"/>
                <w:vertAlign w:val="baseline"/>
              </w:rPr>
            </w:pPr>
            <w:r>
              <w:rPr>
                <w:rFonts w:hint="eastAsia" w:ascii="宋体" w:hAnsi="宋体" w:eastAsia="宋体" w:cs="宋体"/>
                <w:color w:val="auto"/>
                <w:spacing w:val="-4"/>
                <w:sz w:val="24"/>
                <w:szCs w:val="24"/>
                <w:highlight w:val="none"/>
              </w:rPr>
              <w:t>液晶支臂</w:t>
            </w:r>
          </w:p>
        </w:tc>
        <w:tc>
          <w:tcPr>
            <w:tcW w:w="1283" w:type="dxa"/>
            <w:vAlign w:val="center"/>
          </w:tcPr>
          <w:p w14:paraId="27E6DD81">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46</w:t>
            </w:r>
          </w:p>
        </w:tc>
        <w:tc>
          <w:tcPr>
            <w:tcW w:w="851" w:type="dxa"/>
            <w:vAlign w:val="center"/>
          </w:tcPr>
          <w:p w14:paraId="573E8BF9">
            <w:pPr>
              <w:widowControl/>
              <w:jc w:val="center"/>
              <w:rPr>
                <w:color w:val="auto"/>
                <w:highlight w:val="none"/>
                <w:vertAlign w:val="baseline"/>
              </w:rPr>
            </w:pPr>
            <w:r>
              <w:rPr>
                <w:rFonts w:hint="eastAsia" w:ascii="宋体" w:hAnsi="宋体" w:cs="宋体"/>
                <w:color w:val="auto"/>
                <w:spacing w:val="-4"/>
                <w:sz w:val="24"/>
                <w:szCs w:val="24"/>
                <w:highlight w:val="none"/>
                <w:lang w:val="en-US" w:eastAsia="zh-CN"/>
              </w:rPr>
              <w:t>个</w:t>
            </w:r>
          </w:p>
        </w:tc>
        <w:tc>
          <w:tcPr>
            <w:tcW w:w="4385" w:type="dxa"/>
            <w:vAlign w:val="center"/>
          </w:tcPr>
          <w:p w14:paraId="438B9E0E">
            <w:pPr>
              <w:widowControl/>
              <w:jc w:val="left"/>
              <w:rPr>
                <w:color w:val="auto"/>
                <w:highlight w:val="none"/>
                <w:vertAlign w:val="baseline"/>
              </w:rPr>
            </w:pPr>
            <w:r>
              <w:rPr>
                <w:rFonts w:hint="eastAsia" w:ascii="宋体" w:hAnsi="宋体" w:eastAsia="宋体" w:cs="宋体"/>
                <w:color w:val="auto"/>
                <w:spacing w:val="-4"/>
                <w:sz w:val="24"/>
                <w:szCs w:val="24"/>
                <w:highlight w:val="none"/>
              </w:rPr>
              <w:t>单层气压式调节支臂</w:t>
            </w:r>
          </w:p>
        </w:tc>
      </w:tr>
      <w:tr w14:paraId="1002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07" w:type="dxa"/>
            <w:vAlign w:val="center"/>
          </w:tcPr>
          <w:p w14:paraId="3607DED8">
            <w:pPr>
              <w:widowControl/>
              <w:jc w:val="center"/>
              <w:rPr>
                <w:rFonts w:hint="eastAsia"/>
                <w:color w:val="auto"/>
                <w:highlight w:val="none"/>
                <w:vertAlign w:val="baseline"/>
                <w:lang w:val="en-US" w:eastAsia="zh-CN"/>
              </w:rPr>
            </w:pPr>
            <w:r>
              <w:rPr>
                <w:rFonts w:hint="eastAsia" w:ascii="宋体" w:hAnsi="宋体" w:eastAsia="宋体" w:cs="宋体"/>
                <w:color w:val="auto"/>
                <w:spacing w:val="-4"/>
                <w:sz w:val="24"/>
                <w:szCs w:val="24"/>
                <w:highlight w:val="none"/>
              </w:rPr>
              <w:t>6</w:t>
            </w:r>
          </w:p>
        </w:tc>
        <w:tc>
          <w:tcPr>
            <w:tcW w:w="2250" w:type="dxa"/>
            <w:vAlign w:val="center"/>
          </w:tcPr>
          <w:p w14:paraId="78802C6A">
            <w:pPr>
              <w:widowControl/>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座椅</w:t>
            </w:r>
          </w:p>
        </w:tc>
        <w:tc>
          <w:tcPr>
            <w:tcW w:w="1283" w:type="dxa"/>
            <w:vAlign w:val="center"/>
          </w:tcPr>
          <w:p w14:paraId="671FB12B">
            <w:pPr>
              <w:widowControl/>
              <w:jc w:val="center"/>
              <w:rPr>
                <w:rFonts w:hint="eastAsia" w:ascii="宋体" w:hAnsi="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把</w:t>
            </w:r>
          </w:p>
        </w:tc>
        <w:tc>
          <w:tcPr>
            <w:tcW w:w="851" w:type="dxa"/>
            <w:vAlign w:val="center"/>
          </w:tcPr>
          <w:p w14:paraId="4F2A3C4A">
            <w:pPr>
              <w:widowControl/>
              <w:jc w:val="center"/>
              <w:rPr>
                <w:rFonts w:hint="eastAsia" w:ascii="宋体" w:hAnsi="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23</w:t>
            </w:r>
          </w:p>
        </w:tc>
        <w:tc>
          <w:tcPr>
            <w:tcW w:w="4385" w:type="dxa"/>
            <w:vAlign w:val="center"/>
          </w:tcPr>
          <w:p w14:paraId="649F0A43">
            <w:pPr>
              <w:widowControl/>
              <w:jc w:val="lef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人体工程学座椅</w:t>
            </w:r>
            <w:r>
              <w:rPr>
                <w:rFonts w:hint="eastAsia" w:ascii="宋体" w:hAnsi="宋体" w:cs="宋体"/>
                <w:color w:val="auto"/>
                <w:spacing w:val="-4"/>
                <w:sz w:val="24"/>
                <w:szCs w:val="24"/>
                <w:highlight w:val="none"/>
                <w:lang w:eastAsia="zh-CN"/>
              </w:rPr>
              <w:t>（</w:t>
            </w:r>
            <w:r>
              <w:rPr>
                <w:rFonts w:hint="eastAsia" w:ascii="宋体" w:hAnsi="宋体" w:eastAsia="宋体" w:cs="宋体"/>
                <w:b w:val="0"/>
                <w:bCs w:val="0"/>
                <w:strike w:val="0"/>
                <w:color w:val="auto"/>
                <w:kern w:val="44"/>
                <w:sz w:val="24"/>
                <w:szCs w:val="24"/>
                <w:highlight w:val="none"/>
                <w:lang w:val="en-US" w:eastAsia="zh-CN" w:bidi="ar-SA"/>
              </w:rPr>
              <w:t>取消脚轮设计</w:t>
            </w:r>
            <w:r>
              <w:rPr>
                <w:rFonts w:hint="eastAsia" w:ascii="宋体" w:hAnsi="宋体" w:cs="宋体"/>
                <w:color w:val="auto"/>
                <w:spacing w:val="-4"/>
                <w:sz w:val="24"/>
                <w:szCs w:val="24"/>
                <w:highlight w:val="none"/>
                <w:lang w:eastAsia="zh-CN"/>
              </w:rPr>
              <w:t>）</w:t>
            </w:r>
          </w:p>
        </w:tc>
      </w:tr>
    </w:tbl>
    <w:p w14:paraId="5CA95350">
      <w:pPr>
        <w:rPr>
          <w:highlight w:val="none"/>
        </w:rPr>
      </w:pPr>
    </w:p>
    <w:p w14:paraId="1BA4B55A">
      <w:pPr>
        <w:pStyle w:val="41"/>
        <w:widowControl/>
        <w:autoSpaceDE w:val="0"/>
        <w:autoSpaceDN w:val="0"/>
        <w:snapToGrid w:val="0"/>
        <w:spacing w:line="360" w:lineRule="auto"/>
        <w:textAlignment w:val="bottom"/>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注：投标人提供的设备及安装材料应满足工程实际需要，特别是电源电缆、控制电缆、通讯电缆、光缆等提供的长度应满足工程实际需要，若项目及数量不够应在执行合同中无偿补足。</w:t>
      </w:r>
      <w:bookmarkStart w:id="54" w:name="_Toc492130994"/>
    </w:p>
    <w:p w14:paraId="6C1012CD">
      <w:pPr>
        <w:pStyle w:val="4"/>
        <w:rPr>
          <w:color w:val="000000" w:themeColor="text1"/>
          <w:highlight w:val="none"/>
          <w14:textFill>
            <w14:solidFill>
              <w14:schemeClr w14:val="tx1"/>
            </w14:solidFill>
          </w14:textFill>
        </w:rPr>
      </w:pPr>
      <w:bookmarkStart w:id="55" w:name="_Toc171002369"/>
      <w:bookmarkStart w:id="56" w:name="_Toc7851"/>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备品备件</w:t>
      </w:r>
      <w:bookmarkEnd w:id="54"/>
      <w:bookmarkEnd w:id="55"/>
      <w:bookmarkEnd w:id="56"/>
    </w:p>
    <w:p w14:paraId="71BD499E">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3.1 </w:t>
      </w:r>
      <w:r>
        <w:rPr>
          <w:rFonts w:hint="eastAsia"/>
          <w:color w:val="000000" w:themeColor="text1"/>
          <w:highlight w:val="none"/>
          <w14:textFill>
            <w14:solidFill>
              <w14:schemeClr w14:val="tx1"/>
            </w14:solidFill>
          </w14:textFill>
        </w:rPr>
        <w:t>备品备件</w:t>
      </w:r>
    </w:p>
    <w:p w14:paraId="61FDD53D">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招标人对备件清单提出了基本需求，由投标人完善补齐，合同签定后，投标人在供货时不允许减少清单中的品种和数量。</w:t>
      </w:r>
    </w:p>
    <w:p w14:paraId="285DE642">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备品备件随主设备一同运到现场。</w:t>
      </w:r>
    </w:p>
    <w:p w14:paraId="51F4240E">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所有备品备件的一些主要部件</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如印刷电路板</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在发运前，都应逐件进行测试，以保证在</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显示屏中正常运行。</w:t>
      </w:r>
    </w:p>
    <w:p w14:paraId="2170813A">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投标人应保证备品备件长期稳定的供货。对主要设备或与主要设备功能相同接插兼容的替代品，其备品的供货期至少是设备验收后十年或该设备退出市场后</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年（二者之中取时间长的一种）。当投标人决定中断生产某些组件或设备时，应预先告知招标人，以便招标人增加这些设备的备品备件。</w:t>
      </w:r>
    </w:p>
    <w:p w14:paraId="713C3C06">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投标人应对所供集控室</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大屏显示系统及</w:t>
      </w:r>
      <w:r>
        <w:rPr>
          <w:rFonts w:hint="eastAsia" w:ascii="宋体" w:hAnsi="宋体"/>
          <w:color w:val="000000" w:themeColor="text1"/>
          <w:highlight w:val="none"/>
          <w14:textFill>
            <w14:solidFill>
              <w14:schemeClr w14:val="tx1"/>
            </w14:solidFill>
          </w14:textFill>
        </w:rPr>
        <w:t>电视</w:t>
      </w:r>
      <w:r>
        <w:rPr>
          <w:rFonts w:hint="eastAsia"/>
          <w:color w:val="000000" w:themeColor="text1"/>
          <w:kern w:val="2"/>
          <w:szCs w:val="24"/>
          <w:highlight w:val="none"/>
          <w14:textFill>
            <w14:solidFill>
              <w14:schemeClr w14:val="tx1"/>
            </w14:solidFill>
          </w14:textFill>
        </w:rPr>
        <w:t>大屏幕显示</w:t>
      </w:r>
      <w:r>
        <w:rPr>
          <w:rFonts w:hint="eastAsia" w:ascii="宋体" w:hAnsi="宋体"/>
          <w:color w:val="000000" w:themeColor="text1"/>
          <w:szCs w:val="24"/>
          <w:highlight w:val="none"/>
          <w14:textFill>
            <w14:solidFill>
              <w14:schemeClr w14:val="tx1"/>
            </w14:solidFill>
          </w14:textFill>
        </w:rPr>
        <w:t>系统</w:t>
      </w:r>
      <w:r>
        <w:rPr>
          <w:rFonts w:hint="eastAsia"/>
          <w:color w:val="000000" w:themeColor="text1"/>
          <w:highlight w:val="none"/>
          <w14:textFill>
            <w14:solidFill>
              <w14:schemeClr w14:val="tx1"/>
            </w14:solidFill>
          </w14:textFill>
        </w:rPr>
        <w:t>三年运行和维护所必需的备品备件提出清单和报价，并承诺该报价三年内价格不增加。</w:t>
      </w:r>
    </w:p>
    <w:p w14:paraId="12977FD8">
      <w:pPr>
        <w:pStyle w:val="41"/>
        <w:widowControl/>
        <w:autoSpaceDE w:val="0"/>
        <w:autoSpaceDN w:val="0"/>
        <w:snapToGrid w:val="0"/>
        <w:spacing w:line="360" w:lineRule="auto"/>
        <w:textAlignment w:val="bottom"/>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3.2</w:t>
      </w:r>
      <w:r>
        <w:rPr>
          <w:rFonts w:hint="eastAsia"/>
          <w:color w:val="000000" w:themeColor="text1"/>
          <w:highlight w:val="none"/>
          <w14:textFill>
            <w14:solidFill>
              <w14:schemeClr w14:val="tx1"/>
            </w14:solidFill>
          </w14:textFill>
        </w:rPr>
        <w:t>随机标准附件及易损件、备品备件</w:t>
      </w:r>
    </w:p>
    <w:p w14:paraId="71D56A49">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投标人应提供相关设备（</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显示屏、显示屏控制卡等）</w:t>
      </w:r>
      <w:r>
        <w:rPr>
          <w:color w:val="000000" w:themeColor="text1"/>
          <w:highlight w:val="none"/>
          <w14:textFill>
            <w14:solidFill>
              <w14:schemeClr w14:val="tx1"/>
            </w14:solidFill>
          </w14:textFill>
        </w:rPr>
        <w:t>10%</w:t>
      </w:r>
      <w:r>
        <w:rPr>
          <w:rFonts w:hint="eastAsia"/>
          <w:color w:val="000000" w:themeColor="text1"/>
          <w:highlight w:val="none"/>
          <w14:textFill>
            <w14:solidFill>
              <w14:schemeClr w14:val="tx1"/>
            </w14:solidFill>
          </w14:textFill>
        </w:rPr>
        <w:t>的随机备品备件（不足一块备一块）。</w:t>
      </w:r>
    </w:p>
    <w:p w14:paraId="1101847C">
      <w:pPr>
        <w:pStyle w:val="41"/>
        <w:widowControl/>
        <w:autoSpaceDE w:val="0"/>
        <w:autoSpaceDN w:val="0"/>
        <w:snapToGrid w:val="0"/>
        <w:spacing w:line="360" w:lineRule="auto"/>
        <w:ind w:firstLine="480" w:firstLineChars="200"/>
        <w:textAlignment w:val="bottom"/>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专用工具和专用测量仪器随主设备一同运到现场，但要单独包装和单独标识。抵达现场验收合格后及移交招标人。投标人应提供所有便于维修和安装集控室数字墙所使用的专用工具。</w:t>
      </w:r>
    </w:p>
    <w:p w14:paraId="2641E2E3">
      <w:pPr>
        <w:pStyle w:val="41"/>
        <w:widowControl/>
        <w:autoSpaceDE w:val="0"/>
        <w:autoSpaceDN w:val="0"/>
        <w:snapToGrid w:val="0"/>
        <w:spacing w:line="360" w:lineRule="auto"/>
        <w:jc w:val="center"/>
        <w:textAlignment w:val="bottom"/>
        <w:rPr>
          <w:b/>
          <w:color w:val="000000" w:themeColor="text1"/>
          <w:highlight w:val="none"/>
          <w14:textFill>
            <w14:solidFill>
              <w14:schemeClr w14:val="tx1"/>
            </w14:solidFill>
          </w14:textFill>
        </w:rPr>
      </w:pPr>
      <w:r>
        <w:rPr>
          <w:rFonts w:hint="eastAsia" w:ascii="Arial" w:hAnsi="Arial" w:cs="Arial"/>
          <w:b/>
          <w:color w:val="000000" w:themeColor="text1"/>
          <w:szCs w:val="24"/>
          <w:highlight w:val="none"/>
          <w14:textFill>
            <w14:solidFill>
              <w14:schemeClr w14:val="tx1"/>
            </w14:solidFill>
          </w14:textFill>
        </w:rPr>
        <w:t>备品备件清单（由投标人填写，计入合同总价）</w:t>
      </w:r>
    </w:p>
    <w:tbl>
      <w:tblPr>
        <w:tblStyle w:val="25"/>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7"/>
        <w:gridCol w:w="1701"/>
        <w:gridCol w:w="1559"/>
        <w:gridCol w:w="851"/>
        <w:gridCol w:w="850"/>
        <w:gridCol w:w="1276"/>
        <w:gridCol w:w="809"/>
        <w:gridCol w:w="1140"/>
      </w:tblGrid>
      <w:tr w14:paraId="28F11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817" w:type="dxa"/>
            <w:vAlign w:val="center"/>
          </w:tcPr>
          <w:p w14:paraId="2345F4D9">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1701" w:type="dxa"/>
            <w:vAlign w:val="center"/>
          </w:tcPr>
          <w:p w14:paraId="4B2A314A">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名称</w:t>
            </w:r>
          </w:p>
        </w:tc>
        <w:tc>
          <w:tcPr>
            <w:tcW w:w="1559" w:type="dxa"/>
            <w:vAlign w:val="center"/>
          </w:tcPr>
          <w:p w14:paraId="5692B848">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规格型号</w:t>
            </w:r>
          </w:p>
        </w:tc>
        <w:tc>
          <w:tcPr>
            <w:tcW w:w="851" w:type="dxa"/>
            <w:vAlign w:val="center"/>
          </w:tcPr>
          <w:p w14:paraId="03C08572">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单位</w:t>
            </w:r>
          </w:p>
        </w:tc>
        <w:tc>
          <w:tcPr>
            <w:tcW w:w="850" w:type="dxa"/>
            <w:vAlign w:val="center"/>
          </w:tcPr>
          <w:p w14:paraId="5FD5CB34">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数量</w:t>
            </w:r>
          </w:p>
        </w:tc>
        <w:tc>
          <w:tcPr>
            <w:tcW w:w="1276" w:type="dxa"/>
            <w:vAlign w:val="center"/>
          </w:tcPr>
          <w:p w14:paraId="112B37DA">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产地</w:t>
            </w:r>
            <w:r>
              <w:rPr>
                <w:b/>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生产厂家</w:t>
            </w:r>
          </w:p>
        </w:tc>
        <w:tc>
          <w:tcPr>
            <w:tcW w:w="809" w:type="dxa"/>
            <w:tcBorders>
              <w:right w:val="single" w:color="auto" w:sz="4" w:space="0"/>
            </w:tcBorders>
            <w:vAlign w:val="center"/>
          </w:tcPr>
          <w:p w14:paraId="4371C405">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单价</w:t>
            </w:r>
          </w:p>
        </w:tc>
        <w:tc>
          <w:tcPr>
            <w:tcW w:w="1140" w:type="dxa"/>
            <w:tcBorders>
              <w:left w:val="single" w:color="auto" w:sz="4" w:space="0"/>
            </w:tcBorders>
            <w:vAlign w:val="center"/>
          </w:tcPr>
          <w:p w14:paraId="1B00EB0C">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总计</w:t>
            </w:r>
          </w:p>
        </w:tc>
      </w:tr>
      <w:tr w14:paraId="1D04A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2AD6C340">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1701" w:type="dxa"/>
          </w:tcPr>
          <w:p w14:paraId="1C02BE51">
            <w:pPr>
              <w:pStyle w:val="41"/>
              <w:rPr>
                <w:color w:val="000000" w:themeColor="text1"/>
                <w:highlight w:val="none"/>
                <w14:textFill>
                  <w14:solidFill>
                    <w14:schemeClr w14:val="tx1"/>
                  </w14:solidFill>
                </w14:textFill>
              </w:rPr>
            </w:pPr>
          </w:p>
        </w:tc>
        <w:tc>
          <w:tcPr>
            <w:tcW w:w="1559" w:type="dxa"/>
          </w:tcPr>
          <w:p w14:paraId="73739B42">
            <w:pPr>
              <w:pStyle w:val="41"/>
              <w:rPr>
                <w:color w:val="000000" w:themeColor="text1"/>
                <w:highlight w:val="none"/>
                <w14:textFill>
                  <w14:solidFill>
                    <w14:schemeClr w14:val="tx1"/>
                  </w14:solidFill>
                </w14:textFill>
              </w:rPr>
            </w:pPr>
          </w:p>
        </w:tc>
        <w:tc>
          <w:tcPr>
            <w:tcW w:w="851" w:type="dxa"/>
          </w:tcPr>
          <w:p w14:paraId="4D3522F7">
            <w:pPr>
              <w:pStyle w:val="41"/>
              <w:rPr>
                <w:color w:val="000000" w:themeColor="text1"/>
                <w:highlight w:val="none"/>
                <w14:textFill>
                  <w14:solidFill>
                    <w14:schemeClr w14:val="tx1"/>
                  </w14:solidFill>
                </w14:textFill>
              </w:rPr>
            </w:pPr>
          </w:p>
        </w:tc>
        <w:tc>
          <w:tcPr>
            <w:tcW w:w="850" w:type="dxa"/>
          </w:tcPr>
          <w:p w14:paraId="625A9B97">
            <w:pPr>
              <w:pStyle w:val="41"/>
              <w:rPr>
                <w:color w:val="000000" w:themeColor="text1"/>
                <w:highlight w:val="none"/>
                <w14:textFill>
                  <w14:solidFill>
                    <w14:schemeClr w14:val="tx1"/>
                  </w14:solidFill>
                </w14:textFill>
              </w:rPr>
            </w:pPr>
          </w:p>
        </w:tc>
        <w:tc>
          <w:tcPr>
            <w:tcW w:w="1276" w:type="dxa"/>
          </w:tcPr>
          <w:p w14:paraId="6ADD3A40">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41E2BFAC">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4AD45872">
            <w:pPr>
              <w:pStyle w:val="41"/>
              <w:rPr>
                <w:color w:val="000000" w:themeColor="text1"/>
                <w:highlight w:val="none"/>
                <w14:textFill>
                  <w14:solidFill>
                    <w14:schemeClr w14:val="tx1"/>
                  </w14:solidFill>
                </w14:textFill>
              </w:rPr>
            </w:pPr>
          </w:p>
        </w:tc>
      </w:tr>
      <w:tr w14:paraId="2042A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72C57AF3">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1701" w:type="dxa"/>
          </w:tcPr>
          <w:p w14:paraId="1C1D1477">
            <w:pPr>
              <w:pStyle w:val="41"/>
              <w:rPr>
                <w:color w:val="000000" w:themeColor="text1"/>
                <w:highlight w:val="none"/>
                <w14:textFill>
                  <w14:solidFill>
                    <w14:schemeClr w14:val="tx1"/>
                  </w14:solidFill>
                </w14:textFill>
              </w:rPr>
            </w:pPr>
          </w:p>
        </w:tc>
        <w:tc>
          <w:tcPr>
            <w:tcW w:w="1559" w:type="dxa"/>
          </w:tcPr>
          <w:p w14:paraId="79DD0066">
            <w:pPr>
              <w:pStyle w:val="41"/>
              <w:rPr>
                <w:color w:val="000000" w:themeColor="text1"/>
                <w:highlight w:val="none"/>
                <w14:textFill>
                  <w14:solidFill>
                    <w14:schemeClr w14:val="tx1"/>
                  </w14:solidFill>
                </w14:textFill>
              </w:rPr>
            </w:pPr>
          </w:p>
        </w:tc>
        <w:tc>
          <w:tcPr>
            <w:tcW w:w="851" w:type="dxa"/>
          </w:tcPr>
          <w:p w14:paraId="6ACA8B63">
            <w:pPr>
              <w:pStyle w:val="41"/>
              <w:rPr>
                <w:color w:val="000000" w:themeColor="text1"/>
                <w:highlight w:val="none"/>
                <w14:textFill>
                  <w14:solidFill>
                    <w14:schemeClr w14:val="tx1"/>
                  </w14:solidFill>
                </w14:textFill>
              </w:rPr>
            </w:pPr>
          </w:p>
        </w:tc>
        <w:tc>
          <w:tcPr>
            <w:tcW w:w="850" w:type="dxa"/>
          </w:tcPr>
          <w:p w14:paraId="52F8A15A">
            <w:pPr>
              <w:pStyle w:val="41"/>
              <w:rPr>
                <w:color w:val="000000" w:themeColor="text1"/>
                <w:highlight w:val="none"/>
                <w14:textFill>
                  <w14:solidFill>
                    <w14:schemeClr w14:val="tx1"/>
                  </w14:solidFill>
                </w14:textFill>
              </w:rPr>
            </w:pPr>
          </w:p>
        </w:tc>
        <w:tc>
          <w:tcPr>
            <w:tcW w:w="1276" w:type="dxa"/>
          </w:tcPr>
          <w:p w14:paraId="7D322A18">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5FB507D0">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07028B79">
            <w:pPr>
              <w:pStyle w:val="41"/>
              <w:rPr>
                <w:color w:val="000000" w:themeColor="text1"/>
                <w:highlight w:val="none"/>
                <w14:textFill>
                  <w14:solidFill>
                    <w14:schemeClr w14:val="tx1"/>
                  </w14:solidFill>
                </w14:textFill>
              </w:rPr>
            </w:pPr>
          </w:p>
        </w:tc>
      </w:tr>
      <w:tr w14:paraId="576E4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631F19C8">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1701" w:type="dxa"/>
          </w:tcPr>
          <w:p w14:paraId="6556D065">
            <w:pPr>
              <w:pStyle w:val="41"/>
              <w:rPr>
                <w:color w:val="000000" w:themeColor="text1"/>
                <w:highlight w:val="none"/>
                <w14:textFill>
                  <w14:solidFill>
                    <w14:schemeClr w14:val="tx1"/>
                  </w14:solidFill>
                </w14:textFill>
              </w:rPr>
            </w:pPr>
          </w:p>
        </w:tc>
        <w:tc>
          <w:tcPr>
            <w:tcW w:w="1559" w:type="dxa"/>
          </w:tcPr>
          <w:p w14:paraId="2072D740">
            <w:pPr>
              <w:pStyle w:val="41"/>
              <w:rPr>
                <w:color w:val="000000" w:themeColor="text1"/>
                <w:highlight w:val="none"/>
                <w14:textFill>
                  <w14:solidFill>
                    <w14:schemeClr w14:val="tx1"/>
                  </w14:solidFill>
                </w14:textFill>
              </w:rPr>
            </w:pPr>
          </w:p>
        </w:tc>
        <w:tc>
          <w:tcPr>
            <w:tcW w:w="851" w:type="dxa"/>
          </w:tcPr>
          <w:p w14:paraId="384B4AA9">
            <w:pPr>
              <w:pStyle w:val="41"/>
              <w:rPr>
                <w:color w:val="000000" w:themeColor="text1"/>
                <w:highlight w:val="none"/>
                <w14:textFill>
                  <w14:solidFill>
                    <w14:schemeClr w14:val="tx1"/>
                  </w14:solidFill>
                </w14:textFill>
              </w:rPr>
            </w:pPr>
          </w:p>
        </w:tc>
        <w:tc>
          <w:tcPr>
            <w:tcW w:w="850" w:type="dxa"/>
          </w:tcPr>
          <w:p w14:paraId="25F98616">
            <w:pPr>
              <w:pStyle w:val="41"/>
              <w:rPr>
                <w:color w:val="000000" w:themeColor="text1"/>
                <w:highlight w:val="none"/>
                <w14:textFill>
                  <w14:solidFill>
                    <w14:schemeClr w14:val="tx1"/>
                  </w14:solidFill>
                </w14:textFill>
              </w:rPr>
            </w:pPr>
          </w:p>
        </w:tc>
        <w:tc>
          <w:tcPr>
            <w:tcW w:w="1276" w:type="dxa"/>
          </w:tcPr>
          <w:p w14:paraId="44558CCA">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443BB41D">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797123F3">
            <w:pPr>
              <w:pStyle w:val="41"/>
              <w:rPr>
                <w:color w:val="000000" w:themeColor="text1"/>
                <w:highlight w:val="none"/>
                <w14:textFill>
                  <w14:solidFill>
                    <w14:schemeClr w14:val="tx1"/>
                  </w14:solidFill>
                </w14:textFill>
              </w:rPr>
            </w:pPr>
          </w:p>
        </w:tc>
      </w:tr>
      <w:tr w14:paraId="3A045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0374B5F4">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1701" w:type="dxa"/>
          </w:tcPr>
          <w:p w14:paraId="752DE54B">
            <w:pPr>
              <w:pStyle w:val="41"/>
              <w:rPr>
                <w:color w:val="000000" w:themeColor="text1"/>
                <w:highlight w:val="none"/>
                <w14:textFill>
                  <w14:solidFill>
                    <w14:schemeClr w14:val="tx1"/>
                  </w14:solidFill>
                </w14:textFill>
              </w:rPr>
            </w:pPr>
          </w:p>
        </w:tc>
        <w:tc>
          <w:tcPr>
            <w:tcW w:w="1559" w:type="dxa"/>
          </w:tcPr>
          <w:p w14:paraId="0D9DD021">
            <w:pPr>
              <w:pStyle w:val="41"/>
              <w:rPr>
                <w:color w:val="000000" w:themeColor="text1"/>
                <w:highlight w:val="none"/>
                <w14:textFill>
                  <w14:solidFill>
                    <w14:schemeClr w14:val="tx1"/>
                  </w14:solidFill>
                </w14:textFill>
              </w:rPr>
            </w:pPr>
          </w:p>
        </w:tc>
        <w:tc>
          <w:tcPr>
            <w:tcW w:w="851" w:type="dxa"/>
          </w:tcPr>
          <w:p w14:paraId="5E53F074">
            <w:pPr>
              <w:pStyle w:val="41"/>
              <w:rPr>
                <w:color w:val="000000" w:themeColor="text1"/>
                <w:highlight w:val="none"/>
                <w14:textFill>
                  <w14:solidFill>
                    <w14:schemeClr w14:val="tx1"/>
                  </w14:solidFill>
                </w14:textFill>
              </w:rPr>
            </w:pPr>
          </w:p>
        </w:tc>
        <w:tc>
          <w:tcPr>
            <w:tcW w:w="850" w:type="dxa"/>
          </w:tcPr>
          <w:p w14:paraId="43AE1144">
            <w:pPr>
              <w:pStyle w:val="41"/>
              <w:rPr>
                <w:color w:val="000000" w:themeColor="text1"/>
                <w:highlight w:val="none"/>
                <w14:textFill>
                  <w14:solidFill>
                    <w14:schemeClr w14:val="tx1"/>
                  </w14:solidFill>
                </w14:textFill>
              </w:rPr>
            </w:pPr>
          </w:p>
        </w:tc>
        <w:tc>
          <w:tcPr>
            <w:tcW w:w="1276" w:type="dxa"/>
          </w:tcPr>
          <w:p w14:paraId="022EB409">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31A40855">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22AE0718">
            <w:pPr>
              <w:pStyle w:val="41"/>
              <w:rPr>
                <w:color w:val="000000" w:themeColor="text1"/>
                <w:highlight w:val="none"/>
                <w14:textFill>
                  <w14:solidFill>
                    <w14:schemeClr w14:val="tx1"/>
                  </w14:solidFill>
                </w14:textFill>
              </w:rPr>
            </w:pPr>
          </w:p>
        </w:tc>
      </w:tr>
    </w:tbl>
    <w:p w14:paraId="66EFB3D7">
      <w:pPr>
        <w:pStyle w:val="44"/>
        <w:spacing w:line="360" w:lineRule="auto"/>
        <w:ind w:firstLine="240" w:firstLineChars="100"/>
        <w:rPr>
          <w:rFonts w:ascii="Arial" w:hAnsi="Arial" w:cs="Arial"/>
          <w:color w:val="000000" w:themeColor="text1"/>
          <w:szCs w:val="24"/>
          <w:highlight w:val="none"/>
          <w14:textFill>
            <w14:solidFill>
              <w14:schemeClr w14:val="tx1"/>
            </w14:solidFill>
          </w14:textFill>
        </w:rPr>
      </w:pPr>
    </w:p>
    <w:p w14:paraId="2FE3E0C9">
      <w:pPr>
        <w:pStyle w:val="41"/>
        <w:widowControl/>
        <w:autoSpaceDE w:val="0"/>
        <w:autoSpaceDN w:val="0"/>
        <w:snapToGrid w:val="0"/>
        <w:spacing w:line="360" w:lineRule="auto"/>
        <w:jc w:val="center"/>
        <w:textAlignment w:val="bottom"/>
        <w:rPr>
          <w:rFonts w:ascii="Arial" w:hAnsi="Arial" w:cs="Arial"/>
          <w:b/>
          <w:color w:val="000000" w:themeColor="text1"/>
          <w:szCs w:val="24"/>
          <w:highlight w:val="none"/>
          <w14:textFill>
            <w14:solidFill>
              <w14:schemeClr w14:val="tx1"/>
            </w14:solidFill>
          </w14:textFill>
        </w:rPr>
      </w:pPr>
      <w:r>
        <w:rPr>
          <w:rFonts w:hint="eastAsia" w:ascii="Arial" w:hAnsi="Arial" w:cs="Arial"/>
          <w:b/>
          <w:color w:val="000000" w:themeColor="text1"/>
          <w:szCs w:val="24"/>
          <w:highlight w:val="none"/>
          <w14:textFill>
            <w14:solidFill>
              <w14:schemeClr w14:val="tx1"/>
            </w14:solidFill>
          </w14:textFill>
        </w:rPr>
        <w:t>专用工具、专用检测仪器仪表清单（由投标人填写，计入合同总价）</w:t>
      </w:r>
    </w:p>
    <w:tbl>
      <w:tblPr>
        <w:tblStyle w:val="25"/>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7"/>
        <w:gridCol w:w="1701"/>
        <w:gridCol w:w="1559"/>
        <w:gridCol w:w="851"/>
        <w:gridCol w:w="850"/>
        <w:gridCol w:w="1276"/>
        <w:gridCol w:w="809"/>
        <w:gridCol w:w="1140"/>
      </w:tblGrid>
      <w:tr w14:paraId="5BE89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817" w:type="dxa"/>
            <w:vAlign w:val="center"/>
          </w:tcPr>
          <w:p w14:paraId="6C715A0F">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1701" w:type="dxa"/>
            <w:vAlign w:val="center"/>
          </w:tcPr>
          <w:p w14:paraId="597E1CF3">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名称</w:t>
            </w:r>
          </w:p>
        </w:tc>
        <w:tc>
          <w:tcPr>
            <w:tcW w:w="1559" w:type="dxa"/>
            <w:vAlign w:val="center"/>
          </w:tcPr>
          <w:p w14:paraId="1B26CF1D">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规格型号</w:t>
            </w:r>
          </w:p>
        </w:tc>
        <w:tc>
          <w:tcPr>
            <w:tcW w:w="851" w:type="dxa"/>
            <w:vAlign w:val="center"/>
          </w:tcPr>
          <w:p w14:paraId="66A4AD4C">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单位</w:t>
            </w:r>
          </w:p>
        </w:tc>
        <w:tc>
          <w:tcPr>
            <w:tcW w:w="850" w:type="dxa"/>
            <w:vAlign w:val="center"/>
          </w:tcPr>
          <w:p w14:paraId="1B6677E8">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数量</w:t>
            </w:r>
          </w:p>
        </w:tc>
        <w:tc>
          <w:tcPr>
            <w:tcW w:w="1276" w:type="dxa"/>
            <w:vAlign w:val="center"/>
          </w:tcPr>
          <w:p w14:paraId="62439F6F">
            <w:pPr>
              <w:pStyle w:val="4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产地</w:t>
            </w:r>
            <w:r>
              <w:rPr>
                <w:b/>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生产厂家</w:t>
            </w:r>
          </w:p>
        </w:tc>
        <w:tc>
          <w:tcPr>
            <w:tcW w:w="809" w:type="dxa"/>
            <w:tcBorders>
              <w:right w:val="single" w:color="auto" w:sz="4" w:space="0"/>
            </w:tcBorders>
            <w:vAlign w:val="center"/>
          </w:tcPr>
          <w:p w14:paraId="1BFB26AA">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单价</w:t>
            </w:r>
          </w:p>
        </w:tc>
        <w:tc>
          <w:tcPr>
            <w:tcW w:w="1140" w:type="dxa"/>
            <w:tcBorders>
              <w:left w:val="single" w:color="auto" w:sz="4" w:space="0"/>
            </w:tcBorders>
            <w:vAlign w:val="center"/>
          </w:tcPr>
          <w:p w14:paraId="60CADF45">
            <w:pPr>
              <w:pStyle w:val="41"/>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总计</w:t>
            </w:r>
          </w:p>
        </w:tc>
      </w:tr>
      <w:tr w14:paraId="276C5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3ABAD12C">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1701" w:type="dxa"/>
            <w:vAlign w:val="center"/>
          </w:tcPr>
          <w:p w14:paraId="0D94B87B">
            <w:pPr>
              <w:pStyle w:val="41"/>
              <w:rPr>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调试电脑</w:t>
            </w:r>
          </w:p>
        </w:tc>
        <w:tc>
          <w:tcPr>
            <w:tcW w:w="1559" w:type="dxa"/>
          </w:tcPr>
          <w:p w14:paraId="16D2B242">
            <w:pPr>
              <w:pStyle w:val="41"/>
              <w:rPr>
                <w:color w:val="000000" w:themeColor="text1"/>
                <w:highlight w:val="none"/>
                <w14:textFill>
                  <w14:solidFill>
                    <w14:schemeClr w14:val="tx1"/>
                  </w14:solidFill>
                </w14:textFill>
              </w:rPr>
            </w:pPr>
          </w:p>
        </w:tc>
        <w:tc>
          <w:tcPr>
            <w:tcW w:w="851" w:type="dxa"/>
            <w:vAlign w:val="center"/>
          </w:tcPr>
          <w:p w14:paraId="40A359C9">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850" w:type="dxa"/>
            <w:vAlign w:val="center"/>
          </w:tcPr>
          <w:p w14:paraId="6570AAB6">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台</w:t>
            </w:r>
          </w:p>
        </w:tc>
        <w:tc>
          <w:tcPr>
            <w:tcW w:w="1276" w:type="dxa"/>
          </w:tcPr>
          <w:p w14:paraId="00086B6C">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1A27012D">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6ACBD536">
            <w:pPr>
              <w:pStyle w:val="41"/>
              <w:rPr>
                <w:color w:val="000000" w:themeColor="text1"/>
                <w:highlight w:val="none"/>
                <w14:textFill>
                  <w14:solidFill>
                    <w14:schemeClr w14:val="tx1"/>
                  </w14:solidFill>
                </w14:textFill>
              </w:rPr>
            </w:pPr>
          </w:p>
        </w:tc>
      </w:tr>
      <w:tr w14:paraId="3BFC3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3A422944">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1701" w:type="dxa"/>
          </w:tcPr>
          <w:p w14:paraId="7E7AF857">
            <w:pPr>
              <w:pStyle w:val="41"/>
              <w:rPr>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网络测线仪</w:t>
            </w:r>
          </w:p>
        </w:tc>
        <w:tc>
          <w:tcPr>
            <w:tcW w:w="1559" w:type="dxa"/>
          </w:tcPr>
          <w:p w14:paraId="17E6AEC6">
            <w:pPr>
              <w:pStyle w:val="41"/>
              <w:rPr>
                <w:color w:val="000000" w:themeColor="text1"/>
                <w:highlight w:val="none"/>
                <w14:textFill>
                  <w14:solidFill>
                    <w14:schemeClr w14:val="tx1"/>
                  </w14:solidFill>
                </w14:textFill>
              </w:rPr>
            </w:pPr>
          </w:p>
        </w:tc>
        <w:tc>
          <w:tcPr>
            <w:tcW w:w="851" w:type="dxa"/>
            <w:vAlign w:val="center"/>
          </w:tcPr>
          <w:p w14:paraId="1E03BBF8">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850" w:type="dxa"/>
            <w:vAlign w:val="center"/>
          </w:tcPr>
          <w:p w14:paraId="61E507CB">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个</w:t>
            </w:r>
          </w:p>
        </w:tc>
        <w:tc>
          <w:tcPr>
            <w:tcW w:w="1276" w:type="dxa"/>
          </w:tcPr>
          <w:p w14:paraId="0FC44168">
            <w:pPr>
              <w:pStyle w:val="41"/>
              <w:rPr>
                <w:color w:val="000000" w:themeColor="text1"/>
                <w:highlight w:val="none"/>
                <w14:textFill>
                  <w14:solidFill>
                    <w14:schemeClr w14:val="tx1"/>
                  </w14:solidFill>
                </w14:textFill>
              </w:rPr>
            </w:pPr>
          </w:p>
        </w:tc>
        <w:tc>
          <w:tcPr>
            <w:tcW w:w="809" w:type="dxa"/>
            <w:tcBorders>
              <w:right w:val="single" w:color="auto" w:sz="4" w:space="0"/>
            </w:tcBorders>
          </w:tcPr>
          <w:p w14:paraId="73593A45">
            <w:pPr>
              <w:pStyle w:val="41"/>
              <w:rPr>
                <w:color w:val="000000" w:themeColor="text1"/>
                <w:highlight w:val="none"/>
                <w14:textFill>
                  <w14:solidFill>
                    <w14:schemeClr w14:val="tx1"/>
                  </w14:solidFill>
                </w14:textFill>
              </w:rPr>
            </w:pPr>
          </w:p>
        </w:tc>
        <w:tc>
          <w:tcPr>
            <w:tcW w:w="1140" w:type="dxa"/>
            <w:tcBorders>
              <w:left w:val="single" w:color="auto" w:sz="4" w:space="0"/>
            </w:tcBorders>
          </w:tcPr>
          <w:p w14:paraId="3503E0AD">
            <w:pPr>
              <w:pStyle w:val="41"/>
              <w:rPr>
                <w:color w:val="000000" w:themeColor="text1"/>
                <w:highlight w:val="none"/>
                <w14:textFill>
                  <w14:solidFill>
                    <w14:schemeClr w14:val="tx1"/>
                  </w14:solidFill>
                </w14:textFill>
              </w:rPr>
            </w:pPr>
          </w:p>
        </w:tc>
      </w:tr>
      <w:tr w14:paraId="50093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20EB4A3F">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1701" w:type="dxa"/>
            <w:vAlign w:val="center"/>
          </w:tcPr>
          <w:p w14:paraId="5B043C23">
            <w:pPr>
              <w:pStyle w:val="41"/>
              <w:widowControl/>
              <w:spacing w:line="360" w:lineRule="auto"/>
              <w:jc w:val="both"/>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网线钳</w:t>
            </w:r>
          </w:p>
        </w:tc>
        <w:tc>
          <w:tcPr>
            <w:tcW w:w="1559" w:type="dxa"/>
            <w:vAlign w:val="center"/>
          </w:tcPr>
          <w:p w14:paraId="279B8004">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1" w:type="dxa"/>
            <w:vAlign w:val="center"/>
          </w:tcPr>
          <w:p w14:paraId="35A8EC32">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850" w:type="dxa"/>
            <w:vAlign w:val="center"/>
          </w:tcPr>
          <w:p w14:paraId="39966674">
            <w:pPr>
              <w:pStyle w:val="41"/>
              <w:widowControl/>
              <w:spacing w:line="360" w:lineRule="auto"/>
              <w:jc w:val="center"/>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把</w:t>
            </w:r>
          </w:p>
        </w:tc>
        <w:tc>
          <w:tcPr>
            <w:tcW w:w="1276" w:type="dxa"/>
            <w:vAlign w:val="center"/>
          </w:tcPr>
          <w:p w14:paraId="17E5F164">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09" w:type="dxa"/>
            <w:tcBorders>
              <w:right w:val="single" w:color="auto" w:sz="4" w:space="0"/>
            </w:tcBorders>
            <w:vAlign w:val="center"/>
          </w:tcPr>
          <w:p w14:paraId="1E277FB8">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1140" w:type="dxa"/>
            <w:tcBorders>
              <w:left w:val="single" w:color="auto" w:sz="4" w:space="0"/>
            </w:tcBorders>
          </w:tcPr>
          <w:p w14:paraId="48BE6381">
            <w:pPr>
              <w:pStyle w:val="41"/>
              <w:widowControl/>
              <w:spacing w:line="360" w:lineRule="auto"/>
              <w:jc w:val="center"/>
              <w:rPr>
                <w:rFonts w:ascii="宋体" w:hAnsi="宋体" w:cs="宋体"/>
                <w:color w:val="000000" w:themeColor="text1"/>
                <w:highlight w:val="none"/>
                <w14:textFill>
                  <w14:solidFill>
                    <w14:schemeClr w14:val="tx1"/>
                  </w14:solidFill>
                </w14:textFill>
              </w:rPr>
            </w:pPr>
          </w:p>
        </w:tc>
      </w:tr>
      <w:tr w14:paraId="6A1EC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727E93DE">
            <w:pPr>
              <w:pStyle w:val="41"/>
              <w:widowControl/>
              <w:spacing w:line="360" w:lineRule="auto"/>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701" w:type="dxa"/>
            <w:vAlign w:val="center"/>
          </w:tcPr>
          <w:p w14:paraId="29C67ABB">
            <w:pPr>
              <w:pStyle w:val="41"/>
              <w:widowControl/>
              <w:spacing w:line="360" w:lineRule="auto"/>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其他</w:t>
            </w:r>
          </w:p>
        </w:tc>
        <w:tc>
          <w:tcPr>
            <w:tcW w:w="1559" w:type="dxa"/>
            <w:vAlign w:val="center"/>
          </w:tcPr>
          <w:p w14:paraId="06C988C0">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1" w:type="dxa"/>
            <w:vAlign w:val="center"/>
          </w:tcPr>
          <w:p w14:paraId="5433D430">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50" w:type="dxa"/>
            <w:vAlign w:val="center"/>
          </w:tcPr>
          <w:p w14:paraId="5AEB7C72">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1276" w:type="dxa"/>
            <w:vAlign w:val="center"/>
          </w:tcPr>
          <w:p w14:paraId="6E61459E">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809" w:type="dxa"/>
            <w:tcBorders>
              <w:right w:val="single" w:color="auto" w:sz="4" w:space="0"/>
            </w:tcBorders>
            <w:vAlign w:val="center"/>
          </w:tcPr>
          <w:p w14:paraId="56570D03">
            <w:pPr>
              <w:pStyle w:val="41"/>
              <w:widowControl/>
              <w:spacing w:line="360" w:lineRule="auto"/>
              <w:jc w:val="center"/>
              <w:rPr>
                <w:rFonts w:ascii="宋体" w:hAnsi="宋体" w:cs="宋体"/>
                <w:color w:val="000000" w:themeColor="text1"/>
                <w:highlight w:val="none"/>
                <w14:textFill>
                  <w14:solidFill>
                    <w14:schemeClr w14:val="tx1"/>
                  </w14:solidFill>
                </w14:textFill>
              </w:rPr>
            </w:pPr>
          </w:p>
        </w:tc>
        <w:tc>
          <w:tcPr>
            <w:tcW w:w="1140" w:type="dxa"/>
            <w:tcBorders>
              <w:left w:val="single" w:color="auto" w:sz="4" w:space="0"/>
            </w:tcBorders>
          </w:tcPr>
          <w:p w14:paraId="5F444B66">
            <w:pPr>
              <w:pStyle w:val="41"/>
              <w:widowControl/>
              <w:spacing w:line="360" w:lineRule="auto"/>
              <w:jc w:val="center"/>
              <w:rPr>
                <w:rFonts w:ascii="宋体" w:hAnsi="宋体" w:cs="宋体"/>
                <w:color w:val="000000" w:themeColor="text1"/>
                <w:highlight w:val="none"/>
                <w14:textFill>
                  <w14:solidFill>
                    <w14:schemeClr w14:val="tx1"/>
                  </w14:solidFill>
                </w14:textFill>
              </w:rPr>
            </w:pPr>
          </w:p>
        </w:tc>
      </w:tr>
    </w:tbl>
    <w:p w14:paraId="6C3C9E1A">
      <w:pPr>
        <w:spacing w:line="360" w:lineRule="auto"/>
        <w:rPr>
          <w:color w:val="000000" w:themeColor="text1"/>
          <w:sz w:val="24"/>
          <w:highlight w:val="none"/>
          <w14:textFill>
            <w14:solidFill>
              <w14:schemeClr w14:val="tx1"/>
            </w14:solidFill>
          </w14:textFill>
        </w:rPr>
      </w:pPr>
    </w:p>
    <w:bookmarkEnd w:id="39"/>
    <w:p w14:paraId="4D3ABA3B">
      <w:pPr>
        <w:rPr>
          <w:rFonts w:hint="eastAsia"/>
          <w:color w:val="000000" w:themeColor="text1"/>
          <w:highlight w:val="none"/>
          <w14:textFill>
            <w14:solidFill>
              <w14:schemeClr w14:val="tx1"/>
            </w14:solidFill>
          </w14:textFill>
        </w:rPr>
      </w:pPr>
      <w:bookmarkStart w:id="57" w:name="_Toc171002370"/>
      <w:r>
        <w:rPr>
          <w:rFonts w:hint="eastAsia"/>
          <w:color w:val="000000" w:themeColor="text1"/>
          <w:highlight w:val="none"/>
          <w14:textFill>
            <w14:solidFill>
              <w14:schemeClr w14:val="tx1"/>
            </w14:solidFill>
          </w14:textFill>
        </w:rPr>
        <w:br w:type="page"/>
      </w:r>
    </w:p>
    <w:p w14:paraId="7E98D1B8">
      <w:pPr>
        <w:pStyle w:val="3"/>
        <w:keepNext w:val="0"/>
        <w:keepLines w:val="0"/>
        <w:widowControl/>
        <w:numPr>
          <w:ilvl w:val="-1"/>
          <w:numId w:val="0"/>
        </w:numPr>
        <w:outlineLvl w:val="0"/>
        <w:rPr>
          <w:color w:val="000000" w:themeColor="text1"/>
          <w:highlight w:val="none"/>
          <w14:textFill>
            <w14:solidFill>
              <w14:schemeClr w14:val="tx1"/>
            </w14:solidFill>
          </w14:textFill>
        </w:rPr>
      </w:pPr>
      <w:bookmarkStart w:id="58" w:name="_Toc5004"/>
      <w:r>
        <w:rPr>
          <w:rFonts w:hint="eastAsia"/>
          <w:color w:val="000000" w:themeColor="text1"/>
          <w:highlight w:val="none"/>
          <w14:textFill>
            <w14:solidFill>
              <w14:schemeClr w14:val="tx1"/>
            </w14:solidFill>
          </w14:textFill>
        </w:rPr>
        <w:t>附件</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技术文件和资料</w:t>
      </w:r>
      <w:bookmarkEnd w:id="57"/>
      <w:bookmarkEnd w:id="58"/>
    </w:p>
    <w:p w14:paraId="7AE822B3">
      <w:pPr>
        <w:spacing w:line="360" w:lineRule="auto"/>
        <w:rPr>
          <w:color w:val="000000" w:themeColor="text1"/>
          <w:sz w:val="24"/>
          <w:highlight w:val="none"/>
          <w14:textFill>
            <w14:solidFill>
              <w14:schemeClr w14:val="tx1"/>
            </w14:solidFill>
          </w14:textFill>
        </w:rPr>
      </w:pPr>
      <w:bookmarkStart w:id="59" w:name="_Toc36528042"/>
      <w:bookmarkStart w:id="60" w:name="_Toc515705610"/>
      <w:r>
        <w:rPr>
          <w:color w:val="000000" w:themeColor="text1"/>
          <w:sz w:val="24"/>
          <w:highlight w:val="none"/>
          <w14:textFill>
            <w14:solidFill>
              <w14:schemeClr w14:val="tx1"/>
            </w14:solidFill>
          </w14:textFill>
        </w:rPr>
        <w:t xml:space="preserve">1 </w:t>
      </w:r>
      <w:r>
        <w:rPr>
          <w:rFonts w:hint="eastAsia"/>
          <w:color w:val="000000" w:themeColor="text1"/>
          <w:sz w:val="24"/>
          <w:highlight w:val="none"/>
          <w14:textFill>
            <w14:solidFill>
              <w14:schemeClr w14:val="tx1"/>
            </w14:solidFill>
          </w14:textFill>
        </w:rPr>
        <w:t>一般要求</w:t>
      </w:r>
      <w:bookmarkEnd w:id="59"/>
      <w:bookmarkEnd w:id="60"/>
    </w:p>
    <w:p w14:paraId="3F2C66B3">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1.1 </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提供的资料应使用国家法定单位制即国际单位制（语言为中文），外文图纸及文件应由</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及时、免费翻译成中文。</w:t>
      </w:r>
    </w:p>
    <w:p w14:paraId="72D0F1EB">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1.2 </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资料的提交应及时、充分，满足工程进度要求。</w:t>
      </w:r>
    </w:p>
    <w:p w14:paraId="0A7C26ED">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1.3 </w:t>
      </w:r>
      <w:r>
        <w:rPr>
          <w:rFonts w:hint="eastAsia"/>
          <w:color w:val="000000" w:themeColor="text1"/>
          <w:sz w:val="24"/>
          <w:highlight w:val="none"/>
          <w14:textFill>
            <w14:solidFill>
              <w14:schemeClr w14:val="tx1"/>
            </w14:solidFill>
          </w14:textFill>
        </w:rPr>
        <w:t>对于其它没有列入合同技术资料清单，却是工程所必需文件和资料，一经发现，</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应及时免费提供。如本期工程为多台设备构成，后续设备有改进时，</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也应及时免费提供新的技术资料。</w:t>
      </w:r>
    </w:p>
    <w:p w14:paraId="4E0A2763">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1.4</w:t>
      </w:r>
      <w:r>
        <w:rPr>
          <w:rFonts w:hint="eastAsia"/>
          <w:color w:val="000000" w:themeColor="text1"/>
          <w:sz w:val="24"/>
          <w:highlight w:val="none"/>
          <w:lang w:eastAsia="zh-CN"/>
          <w14:textFill>
            <w14:solidFill>
              <w14:schemeClr w14:val="tx1"/>
            </w14:solidFill>
          </w14:textFill>
        </w:rPr>
        <w:t>招标人</w:t>
      </w:r>
      <w:r>
        <w:rPr>
          <w:rFonts w:hint="eastAsia"/>
          <w:color w:val="000000" w:themeColor="text1"/>
          <w:sz w:val="24"/>
          <w:highlight w:val="none"/>
          <w14:textFill>
            <w14:solidFill>
              <w14:schemeClr w14:val="tx1"/>
            </w14:solidFill>
          </w14:textFill>
        </w:rPr>
        <w:t>要及时提供与合同设备设计制造有关的资料。</w:t>
      </w:r>
    </w:p>
    <w:p w14:paraId="78786EA5">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1.5</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提供施工用的技术资料为</w:t>
      </w: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套。</w:t>
      </w:r>
    </w:p>
    <w:p w14:paraId="4264FEFC">
      <w:pPr>
        <w:spacing w:line="360" w:lineRule="auto"/>
        <w:rPr>
          <w:color w:val="000000" w:themeColor="text1"/>
          <w:sz w:val="24"/>
          <w:highlight w:val="none"/>
          <w14:textFill>
            <w14:solidFill>
              <w14:schemeClr w14:val="tx1"/>
            </w14:solidFill>
          </w14:textFill>
        </w:rPr>
      </w:pPr>
      <w:bookmarkStart w:id="61" w:name="_Toc36528043"/>
      <w:bookmarkStart w:id="62" w:name="_Toc515705611"/>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资料提交的基本要求</w:t>
      </w:r>
      <w:bookmarkEnd w:id="61"/>
      <w:bookmarkEnd w:id="62"/>
    </w:p>
    <w:p w14:paraId="72CB7356">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2.1 </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在设备交货时，必须至少向</w:t>
      </w:r>
      <w:r>
        <w:rPr>
          <w:rFonts w:hint="eastAsia"/>
          <w:color w:val="000000" w:themeColor="text1"/>
          <w:sz w:val="24"/>
          <w:highlight w:val="none"/>
          <w:lang w:eastAsia="zh-CN"/>
          <w14:textFill>
            <w14:solidFill>
              <w14:schemeClr w14:val="tx1"/>
            </w14:solidFill>
          </w14:textFill>
        </w:rPr>
        <w:t>招标人</w:t>
      </w:r>
      <w:r>
        <w:rPr>
          <w:rFonts w:hint="eastAsia"/>
          <w:color w:val="000000" w:themeColor="text1"/>
          <w:sz w:val="24"/>
          <w:highlight w:val="none"/>
          <w14:textFill>
            <w14:solidFill>
              <w14:schemeClr w14:val="tx1"/>
            </w14:solidFill>
          </w14:textFill>
        </w:rPr>
        <w:t>提供以下技术文件：</w:t>
      </w:r>
    </w:p>
    <w:p w14:paraId="03B210D6">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1</w:t>
      </w:r>
      <w:r>
        <w:rPr>
          <w:rFonts w:hint="eastAsia"/>
          <w:color w:val="000000" w:themeColor="text1"/>
          <w:sz w:val="24"/>
          <w:highlight w:val="none"/>
          <w14:textFill>
            <w14:solidFill>
              <w14:schemeClr w14:val="tx1"/>
            </w14:solidFill>
          </w14:textFill>
        </w:rPr>
        <w:t>）</w:t>
      </w:r>
      <w:r>
        <w:rPr>
          <w:rFonts w:hint="eastAsia"/>
          <w:color w:val="000000" w:themeColor="text1"/>
          <w:sz w:val="24"/>
          <w:szCs w:val="20"/>
          <w:highlight w:val="none"/>
          <w14:textFill>
            <w14:solidFill>
              <w14:schemeClr w14:val="tx1"/>
            </w14:solidFill>
          </w14:textFill>
        </w:rPr>
        <w:t>集控室</w:t>
      </w:r>
      <w:r>
        <w:rPr>
          <w:color w:val="000000" w:themeColor="text1"/>
          <w:sz w:val="24"/>
          <w:szCs w:val="20"/>
          <w:highlight w:val="none"/>
          <w14:textFill>
            <w14:solidFill>
              <w14:schemeClr w14:val="tx1"/>
            </w14:solidFill>
          </w14:textFill>
        </w:rPr>
        <w:t>LED</w:t>
      </w:r>
      <w:r>
        <w:rPr>
          <w:rFonts w:hint="eastAsia"/>
          <w:color w:val="000000" w:themeColor="text1"/>
          <w:sz w:val="24"/>
          <w:szCs w:val="20"/>
          <w:highlight w:val="none"/>
          <w14:textFill>
            <w14:solidFill>
              <w14:schemeClr w14:val="tx1"/>
            </w14:solidFill>
          </w14:textFill>
        </w:rPr>
        <w:t>大屏系统</w:t>
      </w:r>
      <w:r>
        <w:rPr>
          <w:rFonts w:hint="eastAsia"/>
          <w:color w:val="000000" w:themeColor="text1"/>
          <w:sz w:val="24"/>
          <w:highlight w:val="none"/>
          <w14:textFill>
            <w14:solidFill>
              <w14:schemeClr w14:val="tx1"/>
            </w14:solidFill>
          </w14:textFill>
        </w:rPr>
        <w:t>产品资料文件，并能完全能满足电厂设计、安装尺寸、正常运行和维护的需要。</w:t>
      </w:r>
    </w:p>
    <w:p w14:paraId="05616317">
      <w:pPr>
        <w:spacing w:line="360" w:lineRule="auto"/>
        <w:ind w:firstLine="480" w:firstLineChars="200"/>
        <w:rPr>
          <w:color w:val="000000" w:themeColor="text1"/>
          <w:kern w:val="0"/>
          <w:sz w:val="24"/>
          <w:szCs w:val="20"/>
          <w:highlight w:val="none"/>
          <w14:textFill>
            <w14:solidFill>
              <w14:schemeClr w14:val="tx1"/>
            </w14:solidFill>
          </w14:textFill>
        </w:rPr>
      </w:pPr>
      <w:r>
        <w:rPr>
          <w:rFonts w:hint="eastAsia"/>
          <w:color w:val="000000" w:themeColor="text1"/>
          <w:kern w:val="0"/>
          <w:sz w:val="24"/>
          <w:szCs w:val="20"/>
          <w:highlight w:val="none"/>
          <w14:textFill>
            <w14:solidFill>
              <w14:schemeClr w14:val="tx1"/>
            </w14:solidFill>
          </w14:textFill>
        </w:rPr>
        <w:t>（</w:t>
      </w:r>
      <w:r>
        <w:rPr>
          <w:color w:val="000000" w:themeColor="text1"/>
          <w:kern w:val="0"/>
          <w:sz w:val="24"/>
          <w:szCs w:val="20"/>
          <w:highlight w:val="none"/>
          <w14:textFill>
            <w14:solidFill>
              <w14:schemeClr w14:val="tx1"/>
            </w14:solidFill>
          </w14:textFill>
        </w:rPr>
        <w:t>2</w:t>
      </w:r>
      <w:r>
        <w:rPr>
          <w:rFonts w:hint="eastAsia"/>
          <w:color w:val="000000" w:themeColor="text1"/>
          <w:kern w:val="0"/>
          <w:sz w:val="24"/>
          <w:szCs w:val="20"/>
          <w:highlight w:val="none"/>
          <w14:textFill>
            <w14:solidFill>
              <w14:schemeClr w14:val="tx1"/>
            </w14:solidFill>
          </w14:textFill>
        </w:rPr>
        <w:t>）质量保证文件。</w:t>
      </w:r>
    </w:p>
    <w:p w14:paraId="64736FC4">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2.2 </w:t>
      </w:r>
      <w:r>
        <w:rPr>
          <w:rFonts w:hint="eastAsia"/>
          <w:color w:val="000000" w:themeColor="text1"/>
          <w:sz w:val="24"/>
          <w:highlight w:val="none"/>
          <w14:textFill>
            <w14:solidFill>
              <w14:schemeClr w14:val="tx1"/>
            </w14:solidFill>
          </w14:textFill>
        </w:rPr>
        <w:t>在施工图阶段，</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所提供的设备资料应包括设备运行，维护，调试的说明书、安装说明书及有关图纸。</w:t>
      </w:r>
    </w:p>
    <w:p w14:paraId="25BD818B">
      <w:pPr>
        <w:spacing w:line="360" w:lineRule="auto"/>
        <w:rPr>
          <w:color w:val="000000" w:themeColor="text1"/>
          <w:sz w:val="24"/>
          <w:highlight w:val="none"/>
          <w14:textFill>
            <w14:solidFill>
              <w14:schemeClr w14:val="tx1"/>
            </w14:solidFill>
          </w14:textFill>
        </w:rPr>
      </w:pPr>
    </w:p>
    <w:p w14:paraId="1CFA8FE9">
      <w:pPr>
        <w:rPr>
          <w:rFonts w:hint="eastAsia"/>
          <w:color w:val="000000" w:themeColor="text1"/>
          <w:highlight w:val="none"/>
          <w14:textFill>
            <w14:solidFill>
              <w14:schemeClr w14:val="tx1"/>
            </w14:solidFill>
          </w14:textFill>
        </w:rPr>
      </w:pPr>
      <w:bookmarkStart w:id="63" w:name="_Toc171002371"/>
      <w:r>
        <w:rPr>
          <w:rFonts w:hint="eastAsia"/>
          <w:color w:val="000000" w:themeColor="text1"/>
          <w:highlight w:val="none"/>
          <w14:textFill>
            <w14:solidFill>
              <w14:schemeClr w14:val="tx1"/>
            </w14:solidFill>
          </w14:textFill>
        </w:rPr>
        <w:br w:type="page"/>
      </w:r>
    </w:p>
    <w:p w14:paraId="1C8B8AA7">
      <w:pPr>
        <w:pStyle w:val="3"/>
        <w:keepNext w:val="0"/>
        <w:keepLines w:val="0"/>
        <w:widowControl/>
        <w:numPr>
          <w:ilvl w:val="-1"/>
          <w:numId w:val="0"/>
        </w:numPr>
        <w:spacing w:before="120" w:after="120"/>
        <w:outlineLvl w:val="0"/>
        <w:rPr>
          <w:color w:val="000000" w:themeColor="text1"/>
          <w:sz w:val="28"/>
          <w:szCs w:val="28"/>
          <w:highlight w:val="none"/>
          <w14:textFill>
            <w14:solidFill>
              <w14:schemeClr w14:val="tx1"/>
            </w14:solidFill>
          </w14:textFill>
        </w:rPr>
      </w:pPr>
      <w:bookmarkStart w:id="64" w:name="_Toc15102"/>
      <w:r>
        <w:rPr>
          <w:rFonts w:hint="eastAsia"/>
          <w:color w:val="000000" w:themeColor="text1"/>
          <w:sz w:val="28"/>
          <w:szCs w:val="28"/>
          <w:highlight w:val="none"/>
          <w14:textFill>
            <w14:solidFill>
              <w14:schemeClr w14:val="tx1"/>
            </w14:solidFill>
          </w14:textFill>
        </w:rPr>
        <w:t>附件</w:t>
      </w:r>
      <w:r>
        <w:rPr>
          <w:color w:val="000000" w:themeColor="text1"/>
          <w:sz w:val="28"/>
          <w:szCs w:val="28"/>
          <w:highlight w:val="none"/>
          <w14:textFill>
            <w14:solidFill>
              <w14:schemeClr w14:val="tx1"/>
            </w14:solidFill>
          </w14:textFill>
        </w:rPr>
        <w:t>4</w:t>
      </w:r>
      <w:r>
        <w:rPr>
          <w:rFonts w:hint="eastAsia"/>
          <w:color w:val="000000" w:themeColor="text1"/>
          <w:sz w:val="28"/>
          <w:szCs w:val="28"/>
          <w:highlight w:val="none"/>
          <w14:textFill>
            <w14:solidFill>
              <w14:schemeClr w14:val="tx1"/>
            </w14:solidFill>
          </w14:textFill>
        </w:rPr>
        <w:t>质量保证和试验</w:t>
      </w:r>
      <w:bookmarkEnd w:id="63"/>
      <w:bookmarkEnd w:id="64"/>
    </w:p>
    <w:p w14:paraId="09163F12">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1.1 </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应对全部设备进行全面的检查与试验，并提供出厂试验报告书，在合同规定时间内提交</w:t>
      </w:r>
      <w:r>
        <w:rPr>
          <w:rFonts w:hint="eastAsia"/>
          <w:color w:val="000000" w:themeColor="text1"/>
          <w:highlight w:val="none"/>
          <w:lang w:eastAsia="zh-CN"/>
          <w14:textFill>
            <w14:solidFill>
              <w14:schemeClr w14:val="tx1"/>
            </w14:solidFill>
          </w14:textFill>
        </w:rPr>
        <w:t>招标人</w:t>
      </w:r>
      <w:r>
        <w:rPr>
          <w:rFonts w:hint="eastAsia"/>
          <w:color w:val="000000" w:themeColor="text1"/>
          <w:highlight w:val="none"/>
          <w14:textFill>
            <w14:solidFill>
              <w14:schemeClr w14:val="tx1"/>
            </w14:solidFill>
          </w14:textFill>
        </w:rPr>
        <w:t>。</w:t>
      </w:r>
    </w:p>
    <w:p w14:paraId="0514444E">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1.2 </w:t>
      </w:r>
      <w:r>
        <w:rPr>
          <w:rFonts w:hint="eastAsia"/>
          <w:color w:val="000000" w:themeColor="text1"/>
          <w:highlight w:val="none"/>
          <w14:textFill>
            <w14:solidFill>
              <w14:schemeClr w14:val="tx1"/>
            </w14:solidFill>
          </w14:textFill>
        </w:rPr>
        <w:t>对</w:t>
      </w:r>
      <w:r>
        <w:rPr>
          <w:color w:val="000000" w:themeColor="text1"/>
          <w:highlight w:val="none"/>
          <w14:textFill>
            <w14:solidFill>
              <w14:schemeClr w14:val="tx1"/>
            </w14:solidFill>
          </w14:textFill>
        </w:rPr>
        <w:t>LED</w:t>
      </w:r>
      <w:r>
        <w:rPr>
          <w:rFonts w:hint="eastAsia"/>
          <w:color w:val="000000" w:themeColor="text1"/>
          <w:highlight w:val="none"/>
          <w14:textFill>
            <w14:solidFill>
              <w14:schemeClr w14:val="tx1"/>
            </w14:solidFill>
          </w14:textFill>
        </w:rPr>
        <w:t>大屏系统设备的工厂试验，招标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有权派代表参加，投标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应在进行试验前规定的时间内通知招标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。有关招标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参加的试验项目及试验进度由供需双方在签合同时协商确定并列入合同。</w:t>
      </w:r>
    </w:p>
    <w:p w14:paraId="7CA90BBA">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1.3 </w:t>
      </w:r>
      <w:r>
        <w:rPr>
          <w:rFonts w:hint="eastAsia"/>
          <w:color w:val="000000" w:themeColor="text1"/>
          <w:highlight w:val="none"/>
          <w14:textFill>
            <w14:solidFill>
              <w14:schemeClr w14:val="tx1"/>
            </w14:solidFill>
          </w14:textFill>
        </w:rPr>
        <w:t>由投标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进行设备的起动调试工作。投标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负责完成仪表的调试工作，在调试过程中发现的所有技术问题，包括设计和制造等问题均由投标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负责解决。</w:t>
      </w:r>
    </w:p>
    <w:p w14:paraId="1542EF24">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1.4 </w:t>
      </w:r>
      <w:r>
        <w:rPr>
          <w:rFonts w:hint="eastAsia"/>
          <w:color w:val="000000" w:themeColor="text1"/>
          <w:highlight w:val="none"/>
          <w14:textFill>
            <w14:solidFill>
              <w14:schemeClr w14:val="tx1"/>
            </w14:solidFill>
          </w14:textFill>
        </w:rPr>
        <w:t>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提供质保期：</w:t>
      </w:r>
      <w:r>
        <w:rPr>
          <w:color w:val="000000" w:themeColor="text1"/>
          <w:kern w:val="0"/>
          <w:sz w:val="24"/>
          <w:szCs w:val="20"/>
          <w:highlight w:val="none"/>
          <w14:textFill>
            <w14:solidFill>
              <w14:schemeClr w14:val="tx1"/>
            </w14:solidFill>
          </w14:textFill>
        </w:rPr>
        <w:t>1</w:t>
      </w:r>
      <w:r>
        <w:rPr>
          <w:rFonts w:hint="eastAsia"/>
          <w:color w:val="000000" w:themeColor="text1"/>
          <w:kern w:val="0"/>
          <w:sz w:val="24"/>
          <w:szCs w:val="20"/>
          <w:highlight w:val="none"/>
          <w14:textFill>
            <w14:solidFill>
              <w14:schemeClr w14:val="tx1"/>
            </w14:solidFill>
          </w14:textFill>
        </w:rPr>
        <w:t>）</w:t>
      </w:r>
      <w:r>
        <w:rPr>
          <w:rFonts w:hint="eastAsia"/>
          <w:b/>
          <w:color w:val="000000" w:themeColor="text1"/>
          <w:kern w:val="0"/>
          <w:sz w:val="24"/>
          <w:szCs w:val="20"/>
          <w:highlight w:val="none"/>
          <w:u w:val="single"/>
          <w14:textFill>
            <w14:solidFill>
              <w14:schemeClr w14:val="tx1"/>
            </w14:solidFill>
          </w14:textFill>
        </w:rPr>
        <w:t>产品合同商务质保期，为合同生效</w:t>
      </w:r>
      <w:r>
        <w:rPr>
          <w:b/>
          <w:color w:val="000000" w:themeColor="text1"/>
          <w:kern w:val="0"/>
          <w:sz w:val="24"/>
          <w:szCs w:val="20"/>
          <w:highlight w:val="none"/>
          <w:u w:val="single"/>
          <w14:textFill>
            <w14:solidFill>
              <w14:schemeClr w14:val="tx1"/>
            </w14:solidFill>
          </w14:textFill>
        </w:rPr>
        <w:t>12</w:t>
      </w:r>
      <w:r>
        <w:rPr>
          <w:rFonts w:hint="eastAsia"/>
          <w:b/>
          <w:color w:val="000000" w:themeColor="text1"/>
          <w:kern w:val="0"/>
          <w:sz w:val="24"/>
          <w:szCs w:val="20"/>
          <w:highlight w:val="none"/>
          <w:u w:val="single"/>
          <w14:textFill>
            <w14:solidFill>
              <w14:schemeClr w14:val="tx1"/>
            </w14:solidFill>
          </w14:textFill>
        </w:rPr>
        <w:t>个月内</w:t>
      </w:r>
      <w:r>
        <w:rPr>
          <w:rFonts w:hint="eastAsia"/>
          <w:b/>
          <w:color w:val="000000" w:themeColor="text1"/>
          <w:kern w:val="0"/>
          <w:sz w:val="24"/>
          <w:szCs w:val="20"/>
          <w:highlight w:val="none"/>
          <w14:textFill>
            <w14:solidFill>
              <w14:schemeClr w14:val="tx1"/>
            </w14:solidFill>
          </w14:textFill>
        </w:rPr>
        <w:t>。</w:t>
      </w:r>
      <w:r>
        <w:rPr>
          <w:b/>
          <w:color w:val="000000" w:themeColor="text1"/>
          <w:kern w:val="0"/>
          <w:sz w:val="24"/>
          <w:szCs w:val="20"/>
          <w:highlight w:val="none"/>
          <w14:textFill>
            <w14:solidFill>
              <w14:schemeClr w14:val="tx1"/>
            </w14:solidFill>
          </w14:textFill>
        </w:rPr>
        <w:t>2</w:t>
      </w:r>
      <w:r>
        <w:rPr>
          <w:rFonts w:hint="eastAsia"/>
          <w:b/>
          <w:color w:val="000000" w:themeColor="text1"/>
          <w:kern w:val="0"/>
          <w:sz w:val="24"/>
          <w:szCs w:val="20"/>
          <w:highlight w:val="none"/>
          <w14:textFill>
            <w14:solidFill>
              <w14:schemeClr w14:val="tx1"/>
            </w14:solidFill>
          </w14:textFill>
        </w:rPr>
        <w:t>）</w:t>
      </w:r>
      <w:r>
        <w:rPr>
          <w:rFonts w:hint="eastAsia"/>
          <w:b/>
          <w:color w:val="000000" w:themeColor="text1"/>
          <w:kern w:val="0"/>
          <w:sz w:val="24"/>
          <w:szCs w:val="20"/>
          <w:highlight w:val="none"/>
          <w:u w:val="single"/>
          <w14:textFill>
            <w14:solidFill>
              <w14:schemeClr w14:val="tx1"/>
            </w14:solidFill>
          </w14:textFill>
        </w:rPr>
        <w:t>产品合同硬件质保期，为合同生效后</w:t>
      </w:r>
      <w:r>
        <w:rPr>
          <w:rFonts w:hint="eastAsia"/>
          <w:b/>
          <w:color w:val="000000" w:themeColor="text1"/>
          <w:kern w:val="0"/>
          <w:sz w:val="24"/>
          <w:szCs w:val="20"/>
          <w:highlight w:val="none"/>
          <w:u w:val="single"/>
          <w:lang w:eastAsia="zh-CN"/>
          <w14:textFill>
            <w14:solidFill>
              <w14:schemeClr w14:val="tx1"/>
            </w14:solidFill>
          </w14:textFill>
        </w:rPr>
        <w:t>3</w:t>
      </w:r>
      <w:r>
        <w:rPr>
          <w:rFonts w:hint="eastAsia"/>
          <w:b/>
          <w:color w:val="000000" w:themeColor="text1"/>
          <w:kern w:val="0"/>
          <w:sz w:val="24"/>
          <w:szCs w:val="20"/>
          <w:highlight w:val="none"/>
          <w:u w:val="single"/>
          <w:lang w:val="en-US" w:eastAsia="zh-CN"/>
          <w14:textFill>
            <w14:solidFill>
              <w14:schemeClr w14:val="tx1"/>
            </w14:solidFill>
          </w14:textFill>
        </w:rPr>
        <w:t>6</w:t>
      </w:r>
      <w:r>
        <w:rPr>
          <w:rFonts w:hint="eastAsia"/>
          <w:b/>
          <w:color w:val="000000" w:themeColor="text1"/>
          <w:kern w:val="0"/>
          <w:sz w:val="24"/>
          <w:szCs w:val="20"/>
          <w:highlight w:val="none"/>
          <w:u w:val="single"/>
          <w14:textFill>
            <w14:solidFill>
              <w14:schemeClr w14:val="tx1"/>
            </w14:solidFill>
          </w14:textFill>
        </w:rPr>
        <w:t>个月内</w:t>
      </w:r>
      <w:r>
        <w:rPr>
          <w:rFonts w:hint="eastAsia"/>
          <w:b/>
          <w:color w:val="000000" w:themeColor="text1"/>
          <w:kern w:val="0"/>
          <w:sz w:val="24"/>
          <w:szCs w:val="20"/>
          <w:highlight w:val="none"/>
          <w14:textFill>
            <w14:solidFill>
              <w14:schemeClr w14:val="tx1"/>
            </w14:solidFill>
          </w14:textFill>
        </w:rPr>
        <w:t>。</w:t>
      </w:r>
      <w:r>
        <w:rPr>
          <w:rFonts w:hint="eastAsia"/>
          <w:color w:val="000000" w:themeColor="text1"/>
          <w:highlight w:val="none"/>
          <w14:textFill>
            <w14:solidFill>
              <w14:schemeClr w14:val="tx1"/>
            </w14:solidFill>
          </w14:textFill>
        </w:rPr>
        <w:t>在质保期内，投标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应免费修复（非人为损坏），甚至进行产品的更换。</w:t>
      </w:r>
    </w:p>
    <w:p w14:paraId="277685CA">
      <w:pPr>
        <w:rPr>
          <w:color w:val="000000" w:themeColor="text1"/>
          <w:highlight w:val="none"/>
          <w14:textFill>
            <w14:solidFill>
              <w14:schemeClr w14:val="tx1"/>
            </w14:solidFill>
          </w14:textFill>
        </w:rPr>
      </w:pPr>
    </w:p>
    <w:p w14:paraId="6E059D63">
      <w:pPr>
        <w:rPr>
          <w:rFonts w:hint="eastAsia"/>
          <w:color w:val="000000" w:themeColor="text1"/>
          <w:highlight w:val="none"/>
          <w14:textFill>
            <w14:solidFill>
              <w14:schemeClr w14:val="tx1"/>
            </w14:solidFill>
          </w14:textFill>
        </w:rPr>
      </w:pPr>
      <w:bookmarkStart w:id="65" w:name="_Toc171002372"/>
      <w:r>
        <w:rPr>
          <w:rFonts w:hint="eastAsia"/>
          <w:color w:val="000000" w:themeColor="text1"/>
          <w:highlight w:val="none"/>
          <w14:textFill>
            <w14:solidFill>
              <w14:schemeClr w14:val="tx1"/>
            </w14:solidFill>
          </w14:textFill>
        </w:rPr>
        <w:br w:type="page"/>
      </w:r>
    </w:p>
    <w:p w14:paraId="33775D29">
      <w:pPr>
        <w:pStyle w:val="3"/>
        <w:keepNext w:val="0"/>
        <w:keepLines w:val="0"/>
        <w:widowControl/>
        <w:numPr>
          <w:ilvl w:val="-1"/>
          <w:numId w:val="0"/>
        </w:numPr>
        <w:outlineLvl w:val="0"/>
        <w:rPr>
          <w:color w:val="000000" w:themeColor="text1"/>
          <w:sz w:val="28"/>
          <w:szCs w:val="28"/>
          <w:highlight w:val="none"/>
          <w14:textFill>
            <w14:solidFill>
              <w14:schemeClr w14:val="tx1"/>
            </w14:solidFill>
          </w14:textFill>
        </w:rPr>
      </w:pPr>
      <w:bookmarkStart w:id="66" w:name="_Toc1949"/>
      <w:r>
        <w:rPr>
          <w:rFonts w:hint="eastAsia"/>
          <w:color w:val="000000" w:themeColor="text1"/>
          <w:sz w:val="28"/>
          <w:szCs w:val="28"/>
          <w:highlight w:val="none"/>
          <w14:textFill>
            <w14:solidFill>
              <w14:schemeClr w14:val="tx1"/>
            </w14:solidFill>
          </w14:textFill>
        </w:rPr>
        <w:t>附件</w:t>
      </w:r>
      <w:r>
        <w:rPr>
          <w:color w:val="000000" w:themeColor="text1"/>
          <w:sz w:val="28"/>
          <w:szCs w:val="28"/>
          <w:highlight w:val="none"/>
          <w14:textFill>
            <w14:solidFill>
              <w14:schemeClr w14:val="tx1"/>
            </w14:solidFill>
          </w14:textFill>
        </w:rPr>
        <w:t>5</w:t>
      </w:r>
      <w:r>
        <w:rPr>
          <w:rFonts w:hint="eastAsia"/>
          <w:color w:val="000000" w:themeColor="text1"/>
          <w:sz w:val="28"/>
          <w:szCs w:val="28"/>
          <w:highlight w:val="none"/>
          <w14:textFill>
            <w14:solidFill>
              <w14:schemeClr w14:val="tx1"/>
            </w14:solidFill>
          </w14:textFill>
        </w:rPr>
        <w:t>技术服务和联络</w:t>
      </w:r>
      <w:bookmarkEnd w:id="65"/>
      <w:bookmarkEnd w:id="66"/>
    </w:p>
    <w:p w14:paraId="18C5D2E7">
      <w:pPr>
        <w:pStyle w:val="5"/>
        <w:numPr>
          <w:ilvl w:val="0"/>
          <w:numId w:val="0"/>
        </w:numPr>
        <w:spacing w:line="360" w:lineRule="auto"/>
        <w:jc w:val="both"/>
        <w:rPr>
          <w:color w:val="000000" w:themeColor="text1"/>
          <w:szCs w:val="24"/>
          <w:highlight w:val="none"/>
          <w14:textFill>
            <w14:solidFill>
              <w14:schemeClr w14:val="tx1"/>
            </w14:solidFill>
          </w14:textFill>
        </w:rPr>
      </w:pPr>
      <w:r>
        <w:rPr>
          <w:color w:val="000000" w:themeColor="text1"/>
          <w:szCs w:val="24"/>
          <w:highlight w:val="none"/>
          <w14:textFill>
            <w14:solidFill>
              <w14:schemeClr w14:val="tx1"/>
            </w14:solidFill>
          </w14:textFill>
        </w:rPr>
        <w:t xml:space="preserve">1 </w:t>
      </w:r>
      <w:r>
        <w:rPr>
          <w:rFonts w:hint="eastAsia"/>
          <w:color w:val="000000" w:themeColor="text1"/>
          <w:szCs w:val="24"/>
          <w:highlight w:val="none"/>
          <w:lang w:eastAsia="zh-CN"/>
          <w14:textFill>
            <w14:solidFill>
              <w14:schemeClr w14:val="tx1"/>
            </w14:solidFill>
          </w14:textFill>
        </w:rPr>
        <w:t>投标人</w:t>
      </w:r>
      <w:r>
        <w:rPr>
          <w:rFonts w:hint="eastAsia"/>
          <w:color w:val="000000" w:themeColor="text1"/>
          <w:szCs w:val="24"/>
          <w:highlight w:val="none"/>
          <w14:textFill>
            <w14:solidFill>
              <w14:schemeClr w14:val="tx1"/>
            </w14:solidFill>
          </w14:textFill>
        </w:rPr>
        <w:t>现场技术服务</w:t>
      </w:r>
    </w:p>
    <w:p w14:paraId="3428EE3B">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1.1</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应提供关于性能方面完整的测试，并应保证按规范要求通过由</w:t>
      </w:r>
      <w:r>
        <w:rPr>
          <w:rFonts w:hint="eastAsia"/>
          <w:color w:val="000000" w:themeColor="text1"/>
          <w:sz w:val="24"/>
          <w:highlight w:val="none"/>
          <w:lang w:eastAsia="zh-CN"/>
          <w14:textFill>
            <w14:solidFill>
              <w14:schemeClr w14:val="tx1"/>
            </w14:solidFill>
          </w14:textFill>
        </w:rPr>
        <w:t>招标人</w:t>
      </w:r>
      <w:r>
        <w:rPr>
          <w:rFonts w:hint="eastAsia"/>
          <w:color w:val="000000" w:themeColor="text1"/>
          <w:sz w:val="24"/>
          <w:highlight w:val="none"/>
          <w14:textFill>
            <w14:solidFill>
              <w14:schemeClr w14:val="tx1"/>
            </w14:solidFill>
          </w14:textFill>
        </w:rPr>
        <w:t>组织的验收。</w:t>
      </w:r>
    </w:p>
    <w:p w14:paraId="492D3601">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1.2 </w:t>
      </w:r>
      <w:r>
        <w:rPr>
          <w:rFonts w:hint="eastAsia"/>
          <w:color w:val="000000" w:themeColor="text1"/>
          <w:sz w:val="24"/>
          <w:highlight w:val="none"/>
          <w14:textFill>
            <w14:solidFill>
              <w14:schemeClr w14:val="tx1"/>
            </w14:solidFill>
          </w14:textFill>
        </w:rPr>
        <w:t>现场安装调试投运期间，</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应根据</w:t>
      </w:r>
      <w:r>
        <w:rPr>
          <w:rFonts w:hint="eastAsia"/>
          <w:color w:val="000000" w:themeColor="text1"/>
          <w:sz w:val="24"/>
          <w:highlight w:val="none"/>
          <w:lang w:eastAsia="zh-CN"/>
          <w14:textFill>
            <w14:solidFill>
              <w14:schemeClr w14:val="tx1"/>
            </w14:solidFill>
          </w14:textFill>
        </w:rPr>
        <w:t>招标人</w:t>
      </w:r>
      <w:r>
        <w:rPr>
          <w:rFonts w:hint="eastAsia"/>
          <w:color w:val="000000" w:themeColor="text1"/>
          <w:sz w:val="24"/>
          <w:highlight w:val="none"/>
          <w14:textFill>
            <w14:solidFill>
              <w14:schemeClr w14:val="tx1"/>
            </w14:solidFill>
          </w14:textFill>
        </w:rPr>
        <w:t>的要求，及时派工程技术人员到现场进行技术服务，处理现场出现的问题。投标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现场服务人员的目的是使所供设备安全、正常投运。现场服务计划见下表。如果此人月数不能满足工程需要，投标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要追加人月数，但招标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无须为此支付任何额外费用。</w:t>
      </w:r>
    </w:p>
    <w:p w14:paraId="5E70AA02">
      <w:pPr>
        <w:spacing w:line="360" w:lineRule="auto"/>
        <w:ind w:left="819" w:leftChars="390" w:right="202" w:firstLine="2520" w:firstLineChars="105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现场服务计划表</w:t>
      </w:r>
    </w:p>
    <w:tbl>
      <w:tblPr>
        <w:tblStyle w:val="2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906"/>
        <w:gridCol w:w="2325"/>
        <w:gridCol w:w="1268"/>
        <w:gridCol w:w="1177"/>
        <w:gridCol w:w="1178"/>
        <w:gridCol w:w="1717"/>
      </w:tblGrid>
      <w:tr w14:paraId="620833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63" w:hRule="atLeast"/>
        </w:trPr>
        <w:tc>
          <w:tcPr>
            <w:tcW w:w="906" w:type="dxa"/>
            <w:vMerge w:val="restart"/>
            <w:tcBorders>
              <w:top w:val="single" w:color="auto" w:sz="6" w:space="0"/>
              <w:left w:val="single" w:color="auto" w:sz="6" w:space="0"/>
              <w:bottom w:val="nil"/>
              <w:right w:val="single" w:color="auto" w:sz="6" w:space="0"/>
            </w:tcBorders>
            <w:vAlign w:val="center"/>
          </w:tcPr>
          <w:p w14:paraId="2F89240F">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2325" w:type="dxa"/>
            <w:vMerge w:val="restart"/>
            <w:tcBorders>
              <w:top w:val="single" w:color="auto" w:sz="6" w:space="0"/>
              <w:left w:val="nil"/>
              <w:bottom w:val="nil"/>
              <w:right w:val="single" w:color="auto" w:sz="6" w:space="0"/>
            </w:tcBorders>
            <w:vAlign w:val="center"/>
          </w:tcPr>
          <w:p w14:paraId="1D1E12D8">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技术服务内容</w:t>
            </w:r>
          </w:p>
        </w:tc>
        <w:tc>
          <w:tcPr>
            <w:tcW w:w="1268" w:type="dxa"/>
            <w:vMerge w:val="restart"/>
            <w:tcBorders>
              <w:top w:val="single" w:color="auto" w:sz="6" w:space="0"/>
              <w:left w:val="nil"/>
              <w:bottom w:val="nil"/>
              <w:right w:val="single" w:color="auto" w:sz="6" w:space="0"/>
            </w:tcBorders>
            <w:vAlign w:val="center"/>
          </w:tcPr>
          <w:p w14:paraId="70A39146">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计划人日数</w:t>
            </w:r>
          </w:p>
        </w:tc>
        <w:tc>
          <w:tcPr>
            <w:tcW w:w="2355" w:type="dxa"/>
            <w:gridSpan w:val="2"/>
            <w:tcBorders>
              <w:top w:val="single" w:color="auto" w:sz="6" w:space="0"/>
              <w:left w:val="nil"/>
              <w:bottom w:val="single" w:color="auto" w:sz="6" w:space="0"/>
              <w:right w:val="nil"/>
            </w:tcBorders>
            <w:vAlign w:val="center"/>
          </w:tcPr>
          <w:p w14:paraId="4E6CB059">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派出人员构成</w:t>
            </w:r>
          </w:p>
        </w:tc>
        <w:tc>
          <w:tcPr>
            <w:tcW w:w="1717" w:type="dxa"/>
            <w:vMerge w:val="restart"/>
            <w:tcBorders>
              <w:top w:val="single" w:color="auto" w:sz="6" w:space="0"/>
              <w:left w:val="single" w:color="auto" w:sz="6" w:space="0"/>
              <w:bottom w:val="nil"/>
              <w:right w:val="single" w:color="auto" w:sz="6" w:space="0"/>
            </w:tcBorders>
            <w:vAlign w:val="center"/>
          </w:tcPr>
          <w:p w14:paraId="13BBF213">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2FE94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384" w:hRule="atLeast"/>
        </w:trPr>
        <w:tc>
          <w:tcPr>
            <w:tcW w:w="906" w:type="dxa"/>
            <w:vMerge w:val="continue"/>
            <w:tcBorders>
              <w:top w:val="nil"/>
              <w:left w:val="single" w:color="auto" w:sz="6" w:space="0"/>
              <w:bottom w:val="single" w:color="auto" w:sz="6" w:space="0"/>
              <w:right w:val="single" w:color="auto" w:sz="6" w:space="0"/>
            </w:tcBorders>
          </w:tcPr>
          <w:p w14:paraId="5FFE72FB">
            <w:pPr>
              <w:tabs>
                <w:tab w:val="left" w:pos="240"/>
                <w:tab w:val="left" w:pos="600"/>
                <w:tab w:val="left" w:pos="840"/>
              </w:tabs>
              <w:spacing w:line="360" w:lineRule="auto"/>
              <w:jc w:val="center"/>
              <w:rPr>
                <w:b/>
                <w:color w:val="000000" w:themeColor="text1"/>
                <w:highlight w:val="none"/>
                <w14:textFill>
                  <w14:solidFill>
                    <w14:schemeClr w14:val="tx1"/>
                  </w14:solidFill>
                </w14:textFill>
              </w:rPr>
            </w:pPr>
          </w:p>
        </w:tc>
        <w:tc>
          <w:tcPr>
            <w:tcW w:w="2325" w:type="dxa"/>
            <w:vMerge w:val="continue"/>
            <w:tcBorders>
              <w:top w:val="nil"/>
              <w:left w:val="nil"/>
              <w:bottom w:val="single" w:color="auto" w:sz="6" w:space="0"/>
              <w:right w:val="single" w:color="auto" w:sz="6" w:space="0"/>
            </w:tcBorders>
          </w:tcPr>
          <w:p w14:paraId="0DDFD727">
            <w:pPr>
              <w:tabs>
                <w:tab w:val="left" w:pos="240"/>
                <w:tab w:val="left" w:pos="600"/>
                <w:tab w:val="left" w:pos="840"/>
              </w:tabs>
              <w:spacing w:line="360" w:lineRule="auto"/>
              <w:jc w:val="center"/>
              <w:rPr>
                <w:b/>
                <w:color w:val="000000" w:themeColor="text1"/>
                <w:highlight w:val="none"/>
                <w14:textFill>
                  <w14:solidFill>
                    <w14:schemeClr w14:val="tx1"/>
                  </w14:solidFill>
                </w14:textFill>
              </w:rPr>
            </w:pPr>
          </w:p>
        </w:tc>
        <w:tc>
          <w:tcPr>
            <w:tcW w:w="1268" w:type="dxa"/>
            <w:vMerge w:val="continue"/>
            <w:tcBorders>
              <w:top w:val="nil"/>
              <w:left w:val="nil"/>
              <w:bottom w:val="single" w:color="auto" w:sz="6" w:space="0"/>
              <w:right w:val="single" w:color="auto" w:sz="6" w:space="0"/>
            </w:tcBorders>
          </w:tcPr>
          <w:p w14:paraId="77FFB8C6">
            <w:pPr>
              <w:pStyle w:val="35"/>
              <w:tabs>
                <w:tab w:val="left" w:pos="240"/>
                <w:tab w:val="left" w:pos="600"/>
                <w:tab w:val="left" w:pos="840"/>
              </w:tabs>
              <w:spacing w:line="360" w:lineRule="auto"/>
              <w:rPr>
                <w:rFonts w:ascii="Times New Roman"/>
                <w:b/>
                <w:color w:val="000000" w:themeColor="text1"/>
                <w:highlight w:val="none"/>
                <w14:textFill>
                  <w14:solidFill>
                    <w14:schemeClr w14:val="tx1"/>
                  </w14:solidFill>
                </w14:textFill>
              </w:rPr>
            </w:pPr>
          </w:p>
        </w:tc>
        <w:tc>
          <w:tcPr>
            <w:tcW w:w="1177" w:type="dxa"/>
            <w:tcBorders>
              <w:top w:val="nil"/>
              <w:left w:val="nil"/>
            </w:tcBorders>
            <w:vAlign w:val="center"/>
          </w:tcPr>
          <w:p w14:paraId="1829216D">
            <w:pPr>
              <w:tabs>
                <w:tab w:val="left" w:pos="240"/>
                <w:tab w:val="left" w:pos="600"/>
                <w:tab w:val="left" w:pos="840"/>
              </w:tabs>
              <w:spacing w:line="36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职称</w:t>
            </w:r>
          </w:p>
        </w:tc>
        <w:tc>
          <w:tcPr>
            <w:tcW w:w="1178" w:type="dxa"/>
            <w:tcBorders>
              <w:top w:val="nil"/>
              <w:right w:val="nil"/>
            </w:tcBorders>
          </w:tcPr>
          <w:p w14:paraId="6AB3392A">
            <w:pPr>
              <w:tabs>
                <w:tab w:val="left" w:pos="240"/>
                <w:tab w:val="left" w:pos="600"/>
                <w:tab w:val="left" w:pos="840"/>
              </w:tabs>
              <w:spacing w:line="36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人数</w:t>
            </w:r>
          </w:p>
        </w:tc>
        <w:tc>
          <w:tcPr>
            <w:tcW w:w="1717" w:type="dxa"/>
            <w:vMerge w:val="continue"/>
            <w:tcBorders>
              <w:top w:val="nil"/>
              <w:left w:val="single" w:color="auto" w:sz="6" w:space="0"/>
              <w:bottom w:val="single" w:color="auto" w:sz="6" w:space="0"/>
              <w:right w:val="single" w:color="auto" w:sz="6" w:space="0"/>
            </w:tcBorders>
          </w:tcPr>
          <w:p w14:paraId="3A9EEB1D">
            <w:pPr>
              <w:tabs>
                <w:tab w:val="left" w:pos="240"/>
                <w:tab w:val="left" w:pos="600"/>
                <w:tab w:val="left" w:pos="840"/>
              </w:tabs>
              <w:spacing w:line="360" w:lineRule="auto"/>
              <w:jc w:val="center"/>
              <w:rPr>
                <w:b/>
                <w:color w:val="000000" w:themeColor="text1"/>
                <w:highlight w:val="none"/>
                <w14:textFill>
                  <w14:solidFill>
                    <w14:schemeClr w14:val="tx1"/>
                  </w14:solidFill>
                </w14:textFill>
              </w:rPr>
            </w:pPr>
          </w:p>
        </w:tc>
      </w:tr>
      <w:tr w14:paraId="037DD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3" w:hRule="atLeast"/>
        </w:trPr>
        <w:tc>
          <w:tcPr>
            <w:tcW w:w="906" w:type="dxa"/>
            <w:tcBorders>
              <w:top w:val="nil"/>
            </w:tcBorders>
            <w:vAlign w:val="center"/>
          </w:tcPr>
          <w:p w14:paraId="41752577">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325" w:type="dxa"/>
            <w:tcBorders>
              <w:top w:val="nil"/>
            </w:tcBorders>
            <w:vAlign w:val="center"/>
          </w:tcPr>
          <w:p w14:paraId="658329F6">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安装指导</w:t>
            </w:r>
          </w:p>
        </w:tc>
        <w:tc>
          <w:tcPr>
            <w:tcW w:w="1268" w:type="dxa"/>
            <w:tcBorders>
              <w:top w:val="nil"/>
            </w:tcBorders>
            <w:vAlign w:val="bottom"/>
          </w:tcPr>
          <w:p w14:paraId="4EB5C91B">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77" w:type="dxa"/>
            <w:vAlign w:val="center"/>
          </w:tcPr>
          <w:p w14:paraId="0D1AD56C">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工程师</w:t>
            </w:r>
          </w:p>
        </w:tc>
        <w:tc>
          <w:tcPr>
            <w:tcW w:w="1178" w:type="dxa"/>
            <w:vAlign w:val="center"/>
          </w:tcPr>
          <w:p w14:paraId="2F4EDF40">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717" w:type="dxa"/>
            <w:tcBorders>
              <w:top w:val="nil"/>
            </w:tcBorders>
          </w:tcPr>
          <w:p w14:paraId="1390F4E6">
            <w:pPr>
              <w:pStyle w:val="5"/>
              <w:numPr>
                <w:ilvl w:val="0"/>
                <w:numId w:val="0"/>
              </w:numPr>
              <w:spacing w:line="360" w:lineRule="auto"/>
              <w:jc w:val="both"/>
              <w:rPr>
                <w:color w:val="000000" w:themeColor="text1"/>
                <w:highlight w:val="none"/>
                <w14:textFill>
                  <w14:solidFill>
                    <w14:schemeClr w14:val="tx1"/>
                  </w14:solidFill>
                </w14:textFill>
              </w:rPr>
            </w:pPr>
          </w:p>
        </w:tc>
      </w:tr>
      <w:tr w14:paraId="24660E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906" w:type="dxa"/>
            <w:tcBorders>
              <w:top w:val="nil"/>
              <w:bottom w:val="single" w:color="000000" w:sz="6" w:space="0"/>
            </w:tcBorders>
            <w:vAlign w:val="center"/>
          </w:tcPr>
          <w:p w14:paraId="40C8E6C8">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325" w:type="dxa"/>
            <w:tcBorders>
              <w:top w:val="nil"/>
              <w:bottom w:val="single" w:color="000000" w:sz="6" w:space="0"/>
            </w:tcBorders>
            <w:vAlign w:val="center"/>
          </w:tcPr>
          <w:p w14:paraId="7DD9C110">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调试</w:t>
            </w:r>
          </w:p>
        </w:tc>
        <w:tc>
          <w:tcPr>
            <w:tcW w:w="1268" w:type="dxa"/>
            <w:tcBorders>
              <w:top w:val="nil"/>
              <w:bottom w:val="single" w:color="000000" w:sz="6" w:space="0"/>
            </w:tcBorders>
            <w:vAlign w:val="center"/>
          </w:tcPr>
          <w:p w14:paraId="1E61161C">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77" w:type="dxa"/>
            <w:tcBorders>
              <w:bottom w:val="single" w:color="000000" w:sz="6" w:space="0"/>
            </w:tcBorders>
            <w:vAlign w:val="center"/>
          </w:tcPr>
          <w:p w14:paraId="35FC57DD">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工程师</w:t>
            </w:r>
          </w:p>
        </w:tc>
        <w:tc>
          <w:tcPr>
            <w:tcW w:w="1178" w:type="dxa"/>
            <w:tcBorders>
              <w:bottom w:val="single" w:color="000000" w:sz="6" w:space="0"/>
            </w:tcBorders>
            <w:vAlign w:val="center"/>
          </w:tcPr>
          <w:p w14:paraId="3392C920">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717" w:type="dxa"/>
            <w:tcBorders>
              <w:top w:val="nil"/>
              <w:bottom w:val="single" w:color="000000" w:sz="6" w:space="0"/>
            </w:tcBorders>
          </w:tcPr>
          <w:p w14:paraId="434ACD8E">
            <w:pPr>
              <w:pStyle w:val="5"/>
              <w:numPr>
                <w:ilvl w:val="0"/>
                <w:numId w:val="0"/>
              </w:numPr>
              <w:spacing w:line="360" w:lineRule="auto"/>
              <w:jc w:val="both"/>
              <w:rPr>
                <w:color w:val="000000" w:themeColor="text1"/>
                <w:highlight w:val="none"/>
                <w14:textFill>
                  <w14:solidFill>
                    <w14:schemeClr w14:val="tx1"/>
                  </w14:solidFill>
                </w14:textFill>
              </w:rPr>
            </w:pPr>
          </w:p>
        </w:tc>
      </w:tr>
      <w:tr w14:paraId="5A9AF3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0" w:hRule="atLeast"/>
        </w:trPr>
        <w:tc>
          <w:tcPr>
            <w:tcW w:w="906" w:type="dxa"/>
            <w:tcBorders>
              <w:top w:val="nil"/>
              <w:bottom w:val="single" w:color="000000" w:sz="6" w:space="0"/>
            </w:tcBorders>
            <w:vAlign w:val="center"/>
          </w:tcPr>
          <w:p w14:paraId="21404DB6">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325" w:type="dxa"/>
            <w:tcBorders>
              <w:top w:val="nil"/>
              <w:bottom w:val="single" w:color="000000" w:sz="6" w:space="0"/>
            </w:tcBorders>
            <w:vAlign w:val="center"/>
          </w:tcPr>
          <w:p w14:paraId="0D4A7402">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到货验收</w:t>
            </w:r>
          </w:p>
        </w:tc>
        <w:tc>
          <w:tcPr>
            <w:tcW w:w="1268" w:type="dxa"/>
            <w:tcBorders>
              <w:top w:val="nil"/>
              <w:bottom w:val="single" w:color="000000" w:sz="6" w:space="0"/>
            </w:tcBorders>
            <w:vAlign w:val="center"/>
          </w:tcPr>
          <w:p w14:paraId="1D999CAE">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77" w:type="dxa"/>
            <w:tcBorders>
              <w:bottom w:val="single" w:color="000000" w:sz="6" w:space="0"/>
            </w:tcBorders>
            <w:vAlign w:val="center"/>
          </w:tcPr>
          <w:p w14:paraId="391F0D31">
            <w:pPr>
              <w:pStyle w:val="5"/>
              <w:numPr>
                <w:ilvl w:val="0"/>
                <w:numId w:val="0"/>
              </w:numPr>
              <w:spacing w:line="360" w:lineRule="auto"/>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工程师</w:t>
            </w:r>
          </w:p>
        </w:tc>
        <w:tc>
          <w:tcPr>
            <w:tcW w:w="1178" w:type="dxa"/>
            <w:tcBorders>
              <w:bottom w:val="single" w:color="000000" w:sz="6" w:space="0"/>
            </w:tcBorders>
            <w:vAlign w:val="center"/>
          </w:tcPr>
          <w:p w14:paraId="7F9D4B1D">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717" w:type="dxa"/>
            <w:tcBorders>
              <w:top w:val="nil"/>
              <w:bottom w:val="single" w:color="000000" w:sz="6" w:space="0"/>
            </w:tcBorders>
          </w:tcPr>
          <w:p w14:paraId="4F9C5E79">
            <w:pPr>
              <w:pStyle w:val="5"/>
              <w:numPr>
                <w:ilvl w:val="0"/>
                <w:numId w:val="0"/>
              </w:numPr>
              <w:spacing w:line="360" w:lineRule="auto"/>
              <w:jc w:val="both"/>
              <w:rPr>
                <w:color w:val="000000" w:themeColor="text1"/>
                <w:highlight w:val="none"/>
                <w14:textFill>
                  <w14:solidFill>
                    <w14:schemeClr w14:val="tx1"/>
                  </w14:solidFill>
                </w14:textFill>
              </w:rPr>
            </w:pPr>
          </w:p>
        </w:tc>
      </w:tr>
    </w:tbl>
    <w:p w14:paraId="25F77A93">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lang w:eastAsia="zh-CN"/>
          <w14:textFill>
            <w14:solidFill>
              <w14:schemeClr w14:val="tx1"/>
            </w14:solidFill>
          </w14:textFill>
        </w:rPr>
        <w:t>投标人</w:t>
      </w:r>
      <w:r>
        <w:rPr>
          <w:rFonts w:hint="eastAsia"/>
          <w:color w:val="000000" w:themeColor="text1"/>
          <w:highlight w:val="none"/>
          <w14:textFill>
            <w14:solidFill>
              <w14:schemeClr w14:val="tx1"/>
            </w14:solidFill>
          </w14:textFill>
        </w:rPr>
        <w:t>现场服务人员应具有下列资格：</w:t>
      </w:r>
    </w:p>
    <w:p w14:paraId="6C80EBE3">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2.1 </w:t>
      </w:r>
      <w:r>
        <w:rPr>
          <w:rFonts w:hint="eastAsia"/>
          <w:color w:val="000000" w:themeColor="text1"/>
          <w:sz w:val="24"/>
          <w:highlight w:val="none"/>
          <w14:textFill>
            <w14:solidFill>
              <w14:schemeClr w14:val="tx1"/>
            </w14:solidFill>
          </w14:textFill>
        </w:rPr>
        <w:t>遵守法纪，遵守现场的各项规章和制度</w:t>
      </w:r>
      <w:r>
        <w:rPr>
          <w:color w:val="000000" w:themeColor="text1"/>
          <w:sz w:val="24"/>
          <w:highlight w:val="none"/>
          <w14:textFill>
            <w14:solidFill>
              <w14:schemeClr w14:val="tx1"/>
            </w14:solidFill>
          </w14:textFill>
        </w:rPr>
        <w:t>;</w:t>
      </w:r>
    </w:p>
    <w:p w14:paraId="1B6E5C03">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2.2 </w:t>
      </w:r>
      <w:r>
        <w:rPr>
          <w:rFonts w:hint="eastAsia"/>
          <w:color w:val="000000" w:themeColor="text1"/>
          <w:sz w:val="24"/>
          <w:highlight w:val="none"/>
          <w14:textFill>
            <w14:solidFill>
              <w14:schemeClr w14:val="tx1"/>
            </w14:solidFill>
          </w14:textFill>
        </w:rPr>
        <w:t>有较强的责任感和事业心，按时到位</w:t>
      </w:r>
      <w:r>
        <w:rPr>
          <w:color w:val="000000" w:themeColor="text1"/>
          <w:sz w:val="24"/>
          <w:highlight w:val="none"/>
          <w14:textFill>
            <w14:solidFill>
              <w14:schemeClr w14:val="tx1"/>
            </w14:solidFill>
          </w14:textFill>
        </w:rPr>
        <w:t>;</w:t>
      </w:r>
    </w:p>
    <w:p w14:paraId="7F5EC248">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2.3 </w:t>
      </w:r>
      <w:r>
        <w:rPr>
          <w:rFonts w:hint="eastAsia"/>
          <w:color w:val="000000" w:themeColor="text1"/>
          <w:sz w:val="24"/>
          <w:highlight w:val="none"/>
          <w14:textFill>
            <w14:solidFill>
              <w14:schemeClr w14:val="tx1"/>
            </w14:solidFill>
          </w14:textFill>
        </w:rPr>
        <w:t>了解合同设备的设计，熟悉其结构，有相同或相近机组的现场工作经验，能够正确地进行现场指导</w:t>
      </w:r>
      <w:r>
        <w:rPr>
          <w:color w:val="000000" w:themeColor="text1"/>
          <w:sz w:val="24"/>
          <w:highlight w:val="none"/>
          <w14:textFill>
            <w14:solidFill>
              <w14:schemeClr w14:val="tx1"/>
            </w14:solidFill>
          </w14:textFill>
        </w:rPr>
        <w:t>;</w:t>
      </w:r>
    </w:p>
    <w:p w14:paraId="62AB6299">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2.4</w:t>
      </w:r>
      <w:r>
        <w:rPr>
          <w:rFonts w:hint="eastAsia"/>
          <w:color w:val="000000" w:themeColor="text1"/>
          <w:sz w:val="24"/>
          <w:highlight w:val="none"/>
          <w14:textFill>
            <w14:solidFill>
              <w14:schemeClr w14:val="tx1"/>
            </w14:solidFill>
          </w14:textFill>
        </w:rPr>
        <w:t>身体健康，适应现场工作的条件。</w:t>
      </w:r>
    </w:p>
    <w:p w14:paraId="3B27CF00">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2.5 </w:t>
      </w:r>
      <w:r>
        <w:rPr>
          <w:rFonts w:hint="eastAsia"/>
          <w:color w:val="000000" w:themeColor="text1"/>
          <w:sz w:val="24"/>
          <w:highlight w:val="none"/>
          <w14:textFill>
            <w14:solidFill>
              <w14:schemeClr w14:val="tx1"/>
            </w14:solidFill>
          </w14:textFill>
        </w:rPr>
        <w:t>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须更换招标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认为不合格的投标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w:t>
      </w:r>
    </w:p>
    <w:p w14:paraId="0DB8ED28">
      <w:pPr>
        <w:pStyle w:val="5"/>
        <w:numPr>
          <w:ilvl w:val="0"/>
          <w:numId w:val="0"/>
        </w:numPr>
        <w:spacing w:line="360" w:lineRule="auto"/>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投标</w:t>
      </w:r>
      <w:r>
        <w:rPr>
          <w:rFonts w:hint="eastAsia"/>
          <w:color w:val="000000" w:themeColor="text1"/>
          <w:highlight w:val="none"/>
          <w:lang w:val="en-US" w:eastAsia="zh-CN"/>
          <w14:textFill>
            <w14:solidFill>
              <w14:schemeClr w14:val="tx1"/>
            </w14:solidFill>
          </w14:textFill>
        </w:rPr>
        <w:t>人</w:t>
      </w:r>
      <w:r>
        <w:rPr>
          <w:rFonts w:hint="eastAsia"/>
          <w:color w:val="000000" w:themeColor="text1"/>
          <w:highlight w:val="none"/>
          <w14:textFill>
            <w14:solidFill>
              <w14:schemeClr w14:val="tx1"/>
            </w14:solidFill>
          </w14:textFill>
        </w:rPr>
        <w:t>现场服务人员的职责</w:t>
      </w:r>
    </w:p>
    <w:p w14:paraId="51813D8B">
      <w:pPr>
        <w:spacing w:line="360" w:lineRule="auto"/>
        <w:jc w:val="both"/>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3.1投标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现场服务人员的任务主要包括设备催交、货物的开箱检验、设备质量问题的处理、指导安装和调试、参加试运和性能验收试验。</w:t>
      </w:r>
    </w:p>
    <w:p w14:paraId="178F8E23">
      <w:pPr>
        <w:adjustRightInd w:val="0"/>
        <w:spacing w:line="360" w:lineRule="auto"/>
        <w:jc w:val="both"/>
        <w:textAlignment w:val="baseline"/>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在安装和调试前，投标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技术服务人员应向招标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进行技术交底，讲解和示范将要进行的程序和方法。经投标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确认和签证的工序如因投标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技术服务人员指导错误而发生问题，投标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负全部责任。</w:t>
      </w:r>
    </w:p>
    <w:p w14:paraId="1CD181FC">
      <w:pPr>
        <w:spacing w:line="360" w:lineRule="auto"/>
        <w:jc w:val="both"/>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3.2 </w:t>
      </w:r>
      <w:r>
        <w:rPr>
          <w:rFonts w:hint="eastAsia"/>
          <w:color w:val="000000" w:themeColor="text1"/>
          <w:sz w:val="24"/>
          <w:highlight w:val="none"/>
          <w:lang w:eastAsia="zh-CN"/>
          <w14:textFill>
            <w14:solidFill>
              <w14:schemeClr w14:val="tx1"/>
            </w14:solidFill>
          </w14:textFill>
        </w:rPr>
        <w:t>投标人</w:t>
      </w:r>
      <w:r>
        <w:rPr>
          <w:rFonts w:hint="eastAsia"/>
          <w:color w:val="000000" w:themeColor="text1"/>
          <w:sz w:val="24"/>
          <w:highlight w:val="none"/>
          <w14:textFill>
            <w14:solidFill>
              <w14:schemeClr w14:val="tx1"/>
            </w14:solidFill>
          </w14:textFill>
        </w:rPr>
        <w:t>现场服务人员应有权全权处理现场出现的一切技术和商务问题。如现场发生质量问题，投标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现场人员要在招标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规定的时间内处理解决。如投标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委托招标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进行处理，投标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现场服务人员要出委托书并承担相应的经济责任。</w:t>
      </w:r>
    </w:p>
    <w:p w14:paraId="15FF3186">
      <w:pPr>
        <w:spacing w:line="360" w:lineRule="auto"/>
        <w:jc w:val="both"/>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3.3</w:t>
      </w:r>
      <w:r>
        <w:rPr>
          <w:rFonts w:hint="eastAsia"/>
          <w:color w:val="000000" w:themeColor="text1"/>
          <w:sz w:val="24"/>
          <w:highlight w:val="none"/>
          <w14:textFill>
            <w14:solidFill>
              <w14:schemeClr w14:val="tx1"/>
            </w14:solidFill>
          </w14:textFill>
        </w:rPr>
        <w:tab/>
      </w:r>
      <w:r>
        <w:rPr>
          <w:rFonts w:hint="eastAsia"/>
          <w:color w:val="000000" w:themeColor="text1"/>
          <w:sz w:val="24"/>
          <w:highlight w:val="none"/>
          <w14:textFill>
            <w14:solidFill>
              <w14:schemeClr w14:val="tx1"/>
            </w14:solidFill>
          </w14:textFill>
        </w:rPr>
        <w:t>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对其现场服务人员的一切行为负全部责任。</w:t>
      </w:r>
    </w:p>
    <w:p w14:paraId="357A3522">
      <w:pPr>
        <w:spacing w:line="360" w:lineRule="auto"/>
        <w:jc w:val="both"/>
        <w:outlineLvl w:val="9"/>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3.4</w:t>
      </w:r>
      <w:r>
        <w:rPr>
          <w:rFonts w:hint="eastAsia"/>
          <w:color w:val="000000" w:themeColor="text1"/>
          <w:sz w:val="24"/>
          <w:highlight w:val="none"/>
          <w14:textFill>
            <w14:solidFill>
              <w14:schemeClr w14:val="tx1"/>
            </w14:solidFill>
          </w14:textFill>
        </w:rPr>
        <w:tab/>
      </w:r>
      <w:r>
        <w:rPr>
          <w:rFonts w:hint="eastAsia"/>
          <w:color w:val="000000" w:themeColor="text1"/>
          <w:sz w:val="24"/>
          <w:highlight w:val="none"/>
          <w14:textFill>
            <w14:solidFill>
              <w14:schemeClr w14:val="tx1"/>
            </w14:solidFill>
          </w14:textFill>
        </w:rPr>
        <w:t>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现场服务人员的正常来去和更换应事先与招标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协商。</w:t>
      </w:r>
    </w:p>
    <w:p w14:paraId="7EB19D92">
      <w:pPr>
        <w:pStyle w:val="5"/>
        <w:numPr>
          <w:ilvl w:val="0"/>
          <w:numId w:val="0"/>
        </w:numPr>
        <w:spacing w:line="360" w:lineRule="auto"/>
        <w:jc w:val="both"/>
        <w:rPr>
          <w:color w:val="000000" w:themeColor="text1"/>
          <w:szCs w:val="24"/>
          <w:highlight w:val="none"/>
          <w14:textFill>
            <w14:solidFill>
              <w14:schemeClr w14:val="tx1"/>
            </w14:solidFill>
          </w14:textFill>
        </w:rPr>
      </w:pPr>
      <w:r>
        <w:rPr>
          <w:color w:val="000000" w:themeColor="text1"/>
          <w:szCs w:val="24"/>
          <w:highlight w:val="none"/>
          <w14:textFill>
            <w14:solidFill>
              <w14:schemeClr w14:val="tx1"/>
            </w14:solidFill>
          </w14:textFill>
        </w:rPr>
        <w:t xml:space="preserve">4  </w:t>
      </w:r>
      <w:r>
        <w:rPr>
          <w:rFonts w:hint="eastAsia"/>
          <w:color w:val="000000" w:themeColor="text1"/>
          <w:szCs w:val="24"/>
          <w:highlight w:val="none"/>
          <w14:textFill>
            <w14:solidFill>
              <w14:schemeClr w14:val="tx1"/>
            </w14:solidFill>
          </w14:textFill>
        </w:rPr>
        <w:t>招标</w:t>
      </w:r>
      <w:r>
        <w:rPr>
          <w:rFonts w:hint="eastAsia"/>
          <w:color w:val="000000" w:themeColor="text1"/>
          <w:szCs w:val="24"/>
          <w:highlight w:val="none"/>
          <w:lang w:val="en-US" w:eastAsia="zh-CN"/>
          <w14:textFill>
            <w14:solidFill>
              <w14:schemeClr w14:val="tx1"/>
            </w14:solidFill>
          </w14:textFill>
        </w:rPr>
        <w:t>人</w:t>
      </w:r>
      <w:r>
        <w:rPr>
          <w:rFonts w:hint="eastAsia"/>
          <w:color w:val="000000" w:themeColor="text1"/>
          <w:szCs w:val="24"/>
          <w:highlight w:val="none"/>
          <w14:textFill>
            <w14:solidFill>
              <w14:schemeClr w14:val="tx1"/>
            </w14:solidFill>
          </w14:textFill>
        </w:rPr>
        <w:t>的义务</w:t>
      </w:r>
    </w:p>
    <w:p w14:paraId="5A534BB6">
      <w:pPr>
        <w:adjustRightInd w:val="0"/>
        <w:spacing w:line="360" w:lineRule="auto"/>
        <w:jc w:val="both"/>
        <w:textAlignment w:val="baseline"/>
        <w:outlineLvl w:val="9"/>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招标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要配合投标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现场服务人员的工作，并在生活、交通和通讯上提供方便。</w:t>
      </w:r>
    </w:p>
    <w:p w14:paraId="7D8FE355">
      <w:pPr>
        <w:pStyle w:val="5"/>
        <w:numPr>
          <w:ilvl w:val="0"/>
          <w:numId w:val="0"/>
        </w:numPr>
        <w:spacing w:line="360" w:lineRule="auto"/>
        <w:jc w:val="both"/>
        <w:rPr>
          <w:color w:val="000000" w:themeColor="text1"/>
          <w:szCs w:val="24"/>
          <w:highlight w:val="none"/>
          <w14:textFill>
            <w14:solidFill>
              <w14:schemeClr w14:val="tx1"/>
            </w14:solidFill>
          </w14:textFill>
        </w:rPr>
      </w:pPr>
      <w:r>
        <w:rPr>
          <w:color w:val="000000" w:themeColor="text1"/>
          <w:szCs w:val="24"/>
          <w:highlight w:val="none"/>
          <w14:textFill>
            <w14:solidFill>
              <w14:schemeClr w14:val="tx1"/>
            </w14:solidFill>
          </w14:textFill>
        </w:rPr>
        <w:t xml:space="preserve">5 </w:t>
      </w:r>
      <w:r>
        <w:rPr>
          <w:rFonts w:hint="eastAsia"/>
          <w:color w:val="000000" w:themeColor="text1"/>
          <w:szCs w:val="24"/>
          <w:highlight w:val="none"/>
          <w14:textFill>
            <w14:solidFill>
              <w14:schemeClr w14:val="tx1"/>
            </w14:solidFill>
          </w14:textFill>
        </w:rPr>
        <w:t>今后设备运行阶段的售后服务，</w:t>
      </w:r>
      <w:r>
        <w:rPr>
          <w:color w:val="000000" w:themeColor="text1"/>
          <w:szCs w:val="24"/>
          <w:highlight w:val="none"/>
          <w14:textFill>
            <w14:solidFill>
              <w14:schemeClr w14:val="tx1"/>
            </w14:solidFill>
          </w14:textFill>
        </w:rPr>
        <w:t>24</w:t>
      </w:r>
      <w:r>
        <w:rPr>
          <w:rFonts w:hint="eastAsia"/>
          <w:color w:val="000000" w:themeColor="text1"/>
          <w:szCs w:val="24"/>
          <w:highlight w:val="none"/>
          <w14:textFill>
            <w14:solidFill>
              <w14:schemeClr w14:val="tx1"/>
            </w14:solidFill>
          </w14:textFill>
        </w:rPr>
        <w:t>小时内应有答复，</w:t>
      </w:r>
      <w:r>
        <w:rPr>
          <w:color w:val="000000" w:themeColor="text1"/>
          <w:szCs w:val="24"/>
          <w:highlight w:val="none"/>
          <w14:textFill>
            <w14:solidFill>
              <w14:schemeClr w14:val="tx1"/>
            </w14:solidFill>
          </w14:textFill>
        </w:rPr>
        <w:t>24</w:t>
      </w:r>
      <w:r>
        <w:rPr>
          <w:rFonts w:hint="eastAsia"/>
          <w:color w:val="000000" w:themeColor="text1"/>
          <w:szCs w:val="24"/>
          <w:highlight w:val="none"/>
          <w14:textFill>
            <w14:solidFill>
              <w14:schemeClr w14:val="tx1"/>
            </w14:solidFill>
          </w14:textFill>
        </w:rPr>
        <w:t>小时内至少应有处理意见。</w:t>
      </w:r>
    </w:p>
    <w:p w14:paraId="41AB49DD">
      <w:pPr>
        <w:pStyle w:val="5"/>
        <w:numPr>
          <w:ilvl w:val="0"/>
          <w:numId w:val="0"/>
        </w:numPr>
        <w:spacing w:line="360" w:lineRule="auto"/>
        <w:jc w:val="both"/>
        <w:rPr>
          <w:color w:val="000000" w:themeColor="text1"/>
          <w:szCs w:val="24"/>
          <w:highlight w:val="none"/>
          <w14:textFill>
            <w14:solidFill>
              <w14:schemeClr w14:val="tx1"/>
            </w14:solidFill>
          </w14:textFill>
        </w:rPr>
      </w:pPr>
      <w:bookmarkStart w:id="67" w:name="_Toc531312873"/>
      <w:bookmarkStart w:id="68" w:name="_Toc531337513"/>
      <w:bookmarkStart w:id="69" w:name="_Toc54335811"/>
      <w:bookmarkStart w:id="70" w:name="_Toc520174612"/>
      <w:bookmarkStart w:id="71" w:name="_Toc515726450"/>
      <w:bookmarkStart w:id="72" w:name="_Toc515706744"/>
      <w:bookmarkStart w:id="73" w:name="_Toc517856765"/>
      <w:bookmarkStart w:id="74" w:name="_Toc531323722"/>
      <w:r>
        <w:rPr>
          <w:color w:val="000000" w:themeColor="text1"/>
          <w:szCs w:val="24"/>
          <w:highlight w:val="none"/>
          <w14:textFill>
            <w14:solidFill>
              <w14:schemeClr w14:val="tx1"/>
            </w14:solidFill>
          </w14:textFill>
        </w:rPr>
        <w:t xml:space="preserve">6 </w:t>
      </w:r>
      <w:r>
        <w:rPr>
          <w:rFonts w:hint="eastAsia"/>
          <w:color w:val="000000" w:themeColor="text1"/>
          <w:szCs w:val="24"/>
          <w:highlight w:val="none"/>
          <w14:textFill>
            <w14:solidFill>
              <w14:schemeClr w14:val="tx1"/>
            </w14:solidFill>
          </w14:textFill>
        </w:rPr>
        <w:t>培训</w:t>
      </w:r>
      <w:bookmarkEnd w:id="67"/>
      <w:bookmarkEnd w:id="68"/>
      <w:bookmarkEnd w:id="69"/>
      <w:bookmarkEnd w:id="70"/>
      <w:bookmarkEnd w:id="71"/>
      <w:bookmarkEnd w:id="72"/>
      <w:bookmarkEnd w:id="73"/>
      <w:bookmarkEnd w:id="74"/>
    </w:p>
    <w:p w14:paraId="2A1EF795">
      <w:pPr>
        <w:spacing w:line="360" w:lineRule="auto"/>
        <w:jc w:val="both"/>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6.1 为使合同设备能正常安装、调试、运行、维护及检修，投标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有责任提供相应的技术培训。</w:t>
      </w:r>
    </w:p>
    <w:p w14:paraId="37F68890">
      <w:pPr>
        <w:adjustRightInd w:val="0"/>
        <w:spacing w:line="360" w:lineRule="auto"/>
        <w:jc w:val="both"/>
        <w:textAlignment w:val="baseline"/>
        <w:outlineLvl w:val="9"/>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 培训计划和内容由投标</w:t>
      </w:r>
      <w:r>
        <w:rPr>
          <w:rFonts w:hint="eastAsia"/>
          <w:color w:val="000000" w:themeColor="text1"/>
          <w:sz w:val="24"/>
          <w:highlight w:val="none"/>
          <w:lang w:val="en-US" w:eastAsia="zh-CN"/>
          <w14:textFill>
            <w14:solidFill>
              <w14:schemeClr w14:val="tx1"/>
            </w14:solidFill>
          </w14:textFill>
        </w:rPr>
        <w:t>人</w:t>
      </w:r>
      <w:r>
        <w:rPr>
          <w:rFonts w:hint="eastAsia"/>
          <w:color w:val="000000" w:themeColor="text1"/>
          <w:sz w:val="24"/>
          <w:highlight w:val="none"/>
          <w14:textFill>
            <w14:solidFill>
              <w14:schemeClr w14:val="tx1"/>
            </w14:solidFill>
          </w14:textFill>
        </w:rPr>
        <w:t>在投标文件中列出。</w:t>
      </w:r>
    </w:p>
    <w:p w14:paraId="27A09E52">
      <w:pPr>
        <w:spacing w:line="360" w:lineRule="auto"/>
        <w:jc w:val="both"/>
        <w:outlineLvl w:val="9"/>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6.3 培训的时间、人数、地点等具体内容由招投标双方商定。</w:t>
      </w:r>
    </w:p>
    <w:p w14:paraId="17640CD1">
      <w:pPr>
        <w:pStyle w:val="5"/>
        <w:numPr>
          <w:ilvl w:val="0"/>
          <w:numId w:val="0"/>
        </w:numPr>
        <w:spacing w:line="360" w:lineRule="auto"/>
        <w:jc w:val="both"/>
        <w:rPr>
          <w:color w:val="000000" w:themeColor="text1"/>
          <w:szCs w:val="24"/>
          <w:highlight w:val="none"/>
          <w14:textFill>
            <w14:solidFill>
              <w14:schemeClr w14:val="tx1"/>
            </w14:solidFill>
          </w14:textFill>
        </w:rPr>
      </w:pPr>
      <w:bookmarkStart w:id="75" w:name="_Toc520174613"/>
      <w:bookmarkStart w:id="76" w:name="_Toc531312874"/>
      <w:bookmarkStart w:id="77" w:name="_Toc515726451"/>
      <w:bookmarkStart w:id="78" w:name="_Toc531323723"/>
      <w:bookmarkStart w:id="79" w:name="_Toc517856766"/>
      <w:bookmarkStart w:id="80" w:name="_Toc515706745"/>
      <w:bookmarkStart w:id="81" w:name="_Toc531337514"/>
      <w:bookmarkStart w:id="82" w:name="_Toc54335812"/>
      <w:r>
        <w:rPr>
          <w:color w:val="000000" w:themeColor="text1"/>
          <w:szCs w:val="24"/>
          <w:highlight w:val="none"/>
          <w14:textFill>
            <w14:solidFill>
              <w14:schemeClr w14:val="tx1"/>
            </w14:solidFill>
          </w14:textFill>
        </w:rPr>
        <w:t xml:space="preserve">7 </w:t>
      </w:r>
      <w:r>
        <w:rPr>
          <w:rFonts w:hint="eastAsia"/>
          <w:color w:val="000000" w:themeColor="text1"/>
          <w:szCs w:val="24"/>
          <w:highlight w:val="none"/>
          <w14:textFill>
            <w14:solidFill>
              <w14:schemeClr w14:val="tx1"/>
            </w14:solidFill>
          </w14:textFill>
        </w:rPr>
        <w:t>设计联络会</w:t>
      </w:r>
      <w:bookmarkEnd w:id="75"/>
      <w:bookmarkEnd w:id="76"/>
      <w:bookmarkEnd w:id="77"/>
      <w:bookmarkEnd w:id="78"/>
      <w:bookmarkEnd w:id="79"/>
      <w:bookmarkEnd w:id="80"/>
      <w:bookmarkEnd w:id="81"/>
      <w:bookmarkEnd w:id="82"/>
    </w:p>
    <w:p w14:paraId="2A22E145">
      <w:pPr>
        <w:adjustRightInd w:val="0"/>
        <w:spacing w:line="360" w:lineRule="auto"/>
        <w:jc w:val="both"/>
        <w:textAlignment w:val="baseline"/>
        <w:outlineLvl w:val="9"/>
        <w:rPr>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根据设计需要，双方将举行联络会议，具体议题、时间和地点届时另行商定。</w:t>
      </w:r>
    </w:p>
    <w:p w14:paraId="48BAFA99">
      <w:pPr>
        <w:rPr>
          <w:color w:val="000000" w:themeColor="text1"/>
          <w:highlight w:val="none"/>
          <w14:textFill>
            <w14:solidFill>
              <w14:schemeClr w14:val="tx1"/>
            </w14:solidFill>
          </w14:textFill>
        </w:rPr>
      </w:pPr>
    </w:p>
    <w:p w14:paraId="38D279B9">
      <w:pPr>
        <w:rPr>
          <w:rFonts w:hint="eastAsia"/>
          <w:color w:val="000000" w:themeColor="text1"/>
          <w:highlight w:val="none"/>
          <w14:textFill>
            <w14:solidFill>
              <w14:schemeClr w14:val="tx1"/>
            </w14:solidFill>
          </w14:textFill>
        </w:rPr>
      </w:pPr>
      <w:bookmarkStart w:id="83" w:name="_Toc536267500"/>
      <w:bookmarkStart w:id="84" w:name="_Toc171002373"/>
      <w:bookmarkStart w:id="85" w:name="_Toc536267467"/>
      <w:bookmarkStart w:id="86" w:name="_Toc528635449"/>
      <w:bookmarkStart w:id="87" w:name="_Toc61853526"/>
      <w:bookmarkStart w:id="88" w:name="_Toc519740894"/>
      <w:r>
        <w:rPr>
          <w:rFonts w:hint="eastAsia"/>
          <w:color w:val="000000" w:themeColor="text1"/>
          <w:highlight w:val="none"/>
          <w14:textFill>
            <w14:solidFill>
              <w14:schemeClr w14:val="tx1"/>
            </w14:solidFill>
          </w14:textFill>
        </w:rPr>
        <w:br w:type="page"/>
      </w:r>
    </w:p>
    <w:p w14:paraId="02948FCC">
      <w:pPr>
        <w:pStyle w:val="3"/>
        <w:keepNext w:val="0"/>
        <w:keepLines w:val="0"/>
        <w:widowControl/>
        <w:numPr>
          <w:ilvl w:val="-1"/>
          <w:numId w:val="0"/>
        </w:numPr>
        <w:snapToGrid w:val="0"/>
        <w:outlineLvl w:val="0"/>
        <w:rPr>
          <w:color w:val="000000" w:themeColor="text1"/>
          <w:sz w:val="28"/>
          <w:szCs w:val="28"/>
          <w:highlight w:val="none"/>
          <w14:textFill>
            <w14:solidFill>
              <w14:schemeClr w14:val="tx1"/>
            </w14:solidFill>
          </w14:textFill>
        </w:rPr>
      </w:pPr>
      <w:bookmarkStart w:id="89" w:name="_Toc6480"/>
      <w:r>
        <w:rPr>
          <w:rFonts w:hint="eastAsia"/>
          <w:color w:val="000000" w:themeColor="text1"/>
          <w:sz w:val="28"/>
          <w:szCs w:val="28"/>
          <w:highlight w:val="none"/>
          <w14:textFill>
            <w14:solidFill>
              <w14:schemeClr w14:val="tx1"/>
            </w14:solidFill>
          </w14:textFill>
        </w:rPr>
        <w:t>附件</w:t>
      </w:r>
      <w:r>
        <w:rPr>
          <w:color w:val="000000" w:themeColor="text1"/>
          <w:sz w:val="28"/>
          <w:szCs w:val="28"/>
          <w:highlight w:val="none"/>
          <w14:textFill>
            <w14:solidFill>
              <w14:schemeClr w14:val="tx1"/>
            </w14:solidFill>
          </w14:textFill>
        </w:rPr>
        <w:t>6</w:t>
      </w:r>
      <w:r>
        <w:rPr>
          <w:rFonts w:hint="eastAsia"/>
          <w:color w:val="000000" w:themeColor="text1"/>
          <w:sz w:val="28"/>
          <w:szCs w:val="28"/>
          <w:highlight w:val="none"/>
          <w14:textFill>
            <w14:solidFill>
              <w14:schemeClr w14:val="tx1"/>
            </w14:solidFill>
          </w14:textFill>
        </w:rPr>
        <w:t>分包与外购</w:t>
      </w:r>
      <w:bookmarkEnd w:id="83"/>
      <w:bookmarkEnd w:id="84"/>
      <w:bookmarkEnd w:id="85"/>
      <w:bookmarkEnd w:id="86"/>
      <w:bookmarkEnd w:id="87"/>
      <w:bookmarkEnd w:id="88"/>
      <w:bookmarkEnd w:id="89"/>
    </w:p>
    <w:p w14:paraId="453E6B17">
      <w:pPr>
        <w:spacing w:line="360" w:lineRule="auto"/>
        <w:ind w:firstLine="480"/>
        <w:rPr>
          <w:rFonts w:ascii="宋体"/>
          <w:color w:val="000000" w:themeColor="text1"/>
          <w:sz w:val="24"/>
          <w:highlight w:val="none"/>
          <w14:textFill>
            <w14:solidFill>
              <w14:schemeClr w14:val="tx1"/>
            </w14:solidFill>
          </w14:textFill>
        </w:rPr>
      </w:pPr>
      <w:r>
        <w:rPr>
          <w:rFonts w:hint="eastAsia" w:ascii="宋体"/>
          <w:color w:val="000000" w:themeColor="text1"/>
          <w:sz w:val="24"/>
          <w:highlight w:val="none"/>
          <w:lang w:eastAsia="zh-CN"/>
          <w14:textFill>
            <w14:solidFill>
              <w14:schemeClr w14:val="tx1"/>
            </w14:solidFill>
          </w14:textFill>
        </w:rPr>
        <w:t>投标人</w:t>
      </w:r>
      <w:r>
        <w:rPr>
          <w:rFonts w:hint="eastAsia" w:ascii="宋体"/>
          <w:color w:val="000000" w:themeColor="text1"/>
          <w:sz w:val="24"/>
          <w:highlight w:val="none"/>
          <w14:textFill>
            <w14:solidFill>
              <w14:schemeClr w14:val="tx1"/>
            </w14:solidFill>
          </w14:textFill>
        </w:rPr>
        <w:t>要按下列表格填写分包情况表。</w:t>
      </w:r>
    </w:p>
    <w:p w14:paraId="0A5CDEA0">
      <w:pPr>
        <w:pStyle w:val="35"/>
        <w:adjustRightInd/>
        <w:snapToGrid w:val="0"/>
        <w:spacing w:line="500" w:lineRule="exac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表</w:t>
      </w:r>
      <w:r>
        <w:rPr>
          <w:rFonts w:hAnsi="宋体"/>
          <w:color w:val="000000" w:themeColor="text1"/>
          <w:highlight w:val="none"/>
          <w14:textFill>
            <w14:solidFill>
              <w14:schemeClr w14:val="tx1"/>
            </w14:solidFill>
          </w14:textFill>
        </w:rPr>
        <w:t>1：分包和外购情况表</w:t>
      </w:r>
    </w:p>
    <w:tbl>
      <w:tblPr>
        <w:tblStyle w:val="25"/>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67"/>
        <w:gridCol w:w="1588"/>
        <w:gridCol w:w="1701"/>
        <w:gridCol w:w="567"/>
        <w:gridCol w:w="567"/>
        <w:gridCol w:w="794"/>
        <w:gridCol w:w="1134"/>
        <w:gridCol w:w="794"/>
        <w:gridCol w:w="1021"/>
      </w:tblGrid>
      <w:tr w14:paraId="1BF0A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45A9B7EE">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88" w:type="dxa"/>
            <w:vAlign w:val="center"/>
          </w:tcPr>
          <w:p w14:paraId="454CE71E">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设备</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部组件名称</w:t>
            </w:r>
          </w:p>
        </w:tc>
        <w:tc>
          <w:tcPr>
            <w:tcW w:w="1701" w:type="dxa"/>
            <w:vAlign w:val="center"/>
          </w:tcPr>
          <w:p w14:paraId="05CCD9F5">
            <w:pPr>
              <w:pStyle w:val="35"/>
              <w:adjustRightInd/>
              <w:snapToGrid w:val="0"/>
              <w:spacing w:line="5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型号</w:t>
            </w:r>
          </w:p>
        </w:tc>
        <w:tc>
          <w:tcPr>
            <w:tcW w:w="567" w:type="dxa"/>
            <w:vAlign w:val="center"/>
          </w:tcPr>
          <w:p w14:paraId="21DED3EA">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p>
        </w:tc>
        <w:tc>
          <w:tcPr>
            <w:tcW w:w="567" w:type="dxa"/>
            <w:vAlign w:val="center"/>
          </w:tcPr>
          <w:p w14:paraId="6E00F723">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数量</w:t>
            </w:r>
          </w:p>
        </w:tc>
        <w:tc>
          <w:tcPr>
            <w:tcW w:w="794" w:type="dxa"/>
            <w:vAlign w:val="center"/>
          </w:tcPr>
          <w:p w14:paraId="43B7EAA4">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产地</w:t>
            </w:r>
          </w:p>
        </w:tc>
        <w:tc>
          <w:tcPr>
            <w:tcW w:w="1134" w:type="dxa"/>
            <w:vAlign w:val="center"/>
          </w:tcPr>
          <w:p w14:paraId="6B67B5EF">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厂家</w:t>
            </w:r>
          </w:p>
          <w:p w14:paraId="7E9C9AA0">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p>
        </w:tc>
        <w:tc>
          <w:tcPr>
            <w:tcW w:w="794" w:type="dxa"/>
            <w:vAlign w:val="center"/>
          </w:tcPr>
          <w:p w14:paraId="31C9549D">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交货</w:t>
            </w:r>
          </w:p>
          <w:p w14:paraId="3AF78D8E">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地点</w:t>
            </w:r>
          </w:p>
        </w:tc>
        <w:tc>
          <w:tcPr>
            <w:tcW w:w="1021" w:type="dxa"/>
            <w:vAlign w:val="center"/>
          </w:tcPr>
          <w:p w14:paraId="5556CE34">
            <w:pPr>
              <w:snapToGrid w:val="0"/>
              <w:spacing w:line="500" w:lineRule="exact"/>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14:paraId="39DA95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3987EFBB">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7CF27FA1">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184EB547">
            <w:pPr>
              <w:pStyle w:val="3"/>
              <w:numPr>
                <w:ilvl w:val="0"/>
                <w:numId w:val="0"/>
              </w:numPr>
              <w:spacing w:line="500" w:lineRule="exact"/>
              <w:rPr>
                <w:rFonts w:hAnsi="宋体"/>
                <w:b w:val="0"/>
                <w:color w:val="000000" w:themeColor="text1"/>
                <w:sz w:val="21"/>
                <w:szCs w:val="21"/>
                <w:highlight w:val="none"/>
                <w14:textFill>
                  <w14:solidFill>
                    <w14:schemeClr w14:val="tx1"/>
                  </w14:solidFill>
                </w14:textFill>
              </w:rPr>
            </w:pPr>
          </w:p>
        </w:tc>
        <w:tc>
          <w:tcPr>
            <w:tcW w:w="567" w:type="dxa"/>
            <w:vAlign w:val="center"/>
          </w:tcPr>
          <w:p w14:paraId="1CBAB208">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5D305E7E">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0309F0BA">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44B9F388">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495B9665">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6363A362">
            <w:pPr>
              <w:snapToGrid w:val="0"/>
              <w:spacing w:line="500" w:lineRule="exact"/>
              <w:jc w:val="left"/>
              <w:rPr>
                <w:rFonts w:ascii="宋体" w:hAnsi="宋体"/>
                <w:color w:val="000000" w:themeColor="text1"/>
                <w:highlight w:val="none"/>
                <w14:textFill>
                  <w14:solidFill>
                    <w14:schemeClr w14:val="tx1"/>
                  </w14:solidFill>
                </w14:textFill>
              </w:rPr>
            </w:pPr>
          </w:p>
        </w:tc>
      </w:tr>
      <w:tr w14:paraId="5846F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4517DCEF">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5042C50E">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49A8216F">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26229D58">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1D8FCF8B">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32655813">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48CD561A">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361627CF">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506BC9CA">
            <w:pPr>
              <w:snapToGrid w:val="0"/>
              <w:spacing w:line="500" w:lineRule="exact"/>
              <w:jc w:val="left"/>
              <w:rPr>
                <w:rFonts w:ascii="宋体" w:hAnsi="宋体"/>
                <w:color w:val="000000" w:themeColor="text1"/>
                <w:highlight w:val="none"/>
                <w14:textFill>
                  <w14:solidFill>
                    <w14:schemeClr w14:val="tx1"/>
                  </w14:solidFill>
                </w14:textFill>
              </w:rPr>
            </w:pPr>
          </w:p>
        </w:tc>
      </w:tr>
      <w:tr w14:paraId="3A74E5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03AD76F6">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25277A65">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49C142D9">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6541C24F">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4D76DDCD">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5C5E0637">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3C3AF76B">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7C743DA2">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39C13E66">
            <w:pPr>
              <w:snapToGrid w:val="0"/>
              <w:spacing w:line="500" w:lineRule="exact"/>
              <w:jc w:val="left"/>
              <w:rPr>
                <w:rFonts w:ascii="宋体" w:hAnsi="宋体"/>
                <w:color w:val="000000" w:themeColor="text1"/>
                <w:highlight w:val="none"/>
                <w14:textFill>
                  <w14:solidFill>
                    <w14:schemeClr w14:val="tx1"/>
                  </w14:solidFill>
                </w14:textFill>
              </w:rPr>
            </w:pPr>
          </w:p>
        </w:tc>
      </w:tr>
      <w:tr w14:paraId="70FD68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71130E99">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3C83F778">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30832F65">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641FB680">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620B4B5F">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30CEE696">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393E83D8">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7F92A596">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7B8E6D2C">
            <w:pPr>
              <w:snapToGrid w:val="0"/>
              <w:spacing w:line="500" w:lineRule="exact"/>
              <w:jc w:val="left"/>
              <w:rPr>
                <w:rFonts w:ascii="宋体" w:hAnsi="宋体"/>
                <w:color w:val="000000" w:themeColor="text1"/>
                <w:highlight w:val="none"/>
                <w14:textFill>
                  <w14:solidFill>
                    <w14:schemeClr w14:val="tx1"/>
                  </w14:solidFill>
                </w14:textFill>
              </w:rPr>
            </w:pPr>
          </w:p>
        </w:tc>
      </w:tr>
      <w:tr w14:paraId="348B9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52C249D4">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154CE99A">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0B19A585">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3BA9622D">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3AC82E97">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167BE6F5">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184E39FA">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7B93077C">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1EFB5F8A">
            <w:pPr>
              <w:snapToGrid w:val="0"/>
              <w:spacing w:line="500" w:lineRule="exact"/>
              <w:jc w:val="left"/>
              <w:rPr>
                <w:rFonts w:ascii="宋体" w:hAnsi="宋体"/>
                <w:color w:val="000000" w:themeColor="text1"/>
                <w:highlight w:val="none"/>
                <w14:textFill>
                  <w14:solidFill>
                    <w14:schemeClr w14:val="tx1"/>
                  </w14:solidFill>
                </w14:textFill>
              </w:rPr>
            </w:pPr>
          </w:p>
        </w:tc>
      </w:tr>
      <w:tr w14:paraId="4000D7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6331B8AD">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2A66F8D4">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1BADE053">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6A246DA9">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48614419">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0AA2E783">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2BE12A97">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515D9884">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45AAAC93">
            <w:pPr>
              <w:snapToGrid w:val="0"/>
              <w:spacing w:line="500" w:lineRule="exact"/>
              <w:jc w:val="left"/>
              <w:rPr>
                <w:rFonts w:ascii="宋体" w:hAnsi="宋体"/>
                <w:color w:val="000000" w:themeColor="text1"/>
                <w:highlight w:val="none"/>
                <w14:textFill>
                  <w14:solidFill>
                    <w14:schemeClr w14:val="tx1"/>
                  </w14:solidFill>
                </w14:textFill>
              </w:rPr>
            </w:pPr>
          </w:p>
        </w:tc>
      </w:tr>
      <w:tr w14:paraId="41A78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67" w:type="dxa"/>
            <w:vAlign w:val="center"/>
          </w:tcPr>
          <w:p w14:paraId="2B02E5AA">
            <w:pPr>
              <w:snapToGrid w:val="0"/>
              <w:spacing w:line="500" w:lineRule="exact"/>
              <w:jc w:val="left"/>
              <w:rPr>
                <w:rFonts w:ascii="宋体" w:hAnsi="宋体"/>
                <w:color w:val="000000" w:themeColor="text1"/>
                <w:highlight w:val="none"/>
                <w14:textFill>
                  <w14:solidFill>
                    <w14:schemeClr w14:val="tx1"/>
                  </w14:solidFill>
                </w14:textFill>
              </w:rPr>
            </w:pPr>
          </w:p>
        </w:tc>
        <w:tc>
          <w:tcPr>
            <w:tcW w:w="1588" w:type="dxa"/>
            <w:vAlign w:val="center"/>
          </w:tcPr>
          <w:p w14:paraId="229176AD">
            <w:pPr>
              <w:snapToGrid w:val="0"/>
              <w:spacing w:line="500" w:lineRule="exact"/>
              <w:jc w:val="left"/>
              <w:rPr>
                <w:rFonts w:ascii="宋体" w:hAnsi="宋体"/>
                <w:color w:val="000000" w:themeColor="text1"/>
                <w:highlight w:val="none"/>
                <w14:textFill>
                  <w14:solidFill>
                    <w14:schemeClr w14:val="tx1"/>
                  </w14:solidFill>
                </w14:textFill>
              </w:rPr>
            </w:pPr>
          </w:p>
        </w:tc>
        <w:tc>
          <w:tcPr>
            <w:tcW w:w="1701" w:type="dxa"/>
            <w:vAlign w:val="center"/>
          </w:tcPr>
          <w:p w14:paraId="54F568A6">
            <w:pPr>
              <w:snapToGrid w:val="0"/>
              <w:spacing w:line="500" w:lineRule="exact"/>
              <w:jc w:val="left"/>
              <w:rPr>
                <w:rFonts w:ascii="宋体" w:hAnsi="宋体"/>
                <w:b/>
                <w:color w:val="000000" w:themeColor="text1"/>
                <w:highlight w:val="none"/>
                <w14:textFill>
                  <w14:solidFill>
                    <w14:schemeClr w14:val="tx1"/>
                  </w14:solidFill>
                </w14:textFill>
              </w:rPr>
            </w:pPr>
          </w:p>
        </w:tc>
        <w:tc>
          <w:tcPr>
            <w:tcW w:w="567" w:type="dxa"/>
            <w:vAlign w:val="center"/>
          </w:tcPr>
          <w:p w14:paraId="61188BA7">
            <w:pPr>
              <w:snapToGrid w:val="0"/>
              <w:spacing w:line="500" w:lineRule="exact"/>
              <w:jc w:val="left"/>
              <w:rPr>
                <w:rFonts w:ascii="宋体" w:hAnsi="宋体"/>
                <w:color w:val="000000" w:themeColor="text1"/>
                <w:highlight w:val="none"/>
                <w14:textFill>
                  <w14:solidFill>
                    <w14:schemeClr w14:val="tx1"/>
                  </w14:solidFill>
                </w14:textFill>
              </w:rPr>
            </w:pPr>
          </w:p>
        </w:tc>
        <w:tc>
          <w:tcPr>
            <w:tcW w:w="567" w:type="dxa"/>
            <w:vAlign w:val="center"/>
          </w:tcPr>
          <w:p w14:paraId="27D841F8">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0FA3DF5B">
            <w:pPr>
              <w:snapToGrid w:val="0"/>
              <w:spacing w:line="500" w:lineRule="exact"/>
              <w:jc w:val="left"/>
              <w:rPr>
                <w:rFonts w:ascii="宋体" w:hAnsi="宋体"/>
                <w:color w:val="000000" w:themeColor="text1"/>
                <w:highlight w:val="none"/>
                <w14:textFill>
                  <w14:solidFill>
                    <w14:schemeClr w14:val="tx1"/>
                  </w14:solidFill>
                </w14:textFill>
              </w:rPr>
            </w:pPr>
          </w:p>
        </w:tc>
        <w:tc>
          <w:tcPr>
            <w:tcW w:w="1134" w:type="dxa"/>
            <w:vAlign w:val="center"/>
          </w:tcPr>
          <w:p w14:paraId="49E16ECC">
            <w:pPr>
              <w:snapToGrid w:val="0"/>
              <w:spacing w:line="500" w:lineRule="exact"/>
              <w:jc w:val="left"/>
              <w:rPr>
                <w:rFonts w:ascii="宋体" w:hAnsi="宋体"/>
                <w:color w:val="000000" w:themeColor="text1"/>
                <w:highlight w:val="none"/>
                <w14:textFill>
                  <w14:solidFill>
                    <w14:schemeClr w14:val="tx1"/>
                  </w14:solidFill>
                </w14:textFill>
              </w:rPr>
            </w:pPr>
          </w:p>
        </w:tc>
        <w:tc>
          <w:tcPr>
            <w:tcW w:w="794" w:type="dxa"/>
            <w:vAlign w:val="center"/>
          </w:tcPr>
          <w:p w14:paraId="5285FF7B">
            <w:pPr>
              <w:snapToGrid w:val="0"/>
              <w:spacing w:line="500" w:lineRule="exact"/>
              <w:jc w:val="left"/>
              <w:rPr>
                <w:rFonts w:ascii="宋体" w:hAnsi="宋体"/>
                <w:color w:val="000000" w:themeColor="text1"/>
                <w:highlight w:val="none"/>
                <w14:textFill>
                  <w14:solidFill>
                    <w14:schemeClr w14:val="tx1"/>
                  </w14:solidFill>
                </w14:textFill>
              </w:rPr>
            </w:pPr>
          </w:p>
        </w:tc>
        <w:tc>
          <w:tcPr>
            <w:tcW w:w="1021" w:type="dxa"/>
            <w:vAlign w:val="center"/>
          </w:tcPr>
          <w:p w14:paraId="20437CA2">
            <w:pPr>
              <w:snapToGrid w:val="0"/>
              <w:spacing w:line="500" w:lineRule="exact"/>
              <w:jc w:val="left"/>
              <w:rPr>
                <w:rFonts w:ascii="宋体" w:hAnsi="宋体"/>
                <w:color w:val="000000" w:themeColor="text1"/>
                <w:highlight w:val="none"/>
                <w14:textFill>
                  <w14:solidFill>
                    <w14:schemeClr w14:val="tx1"/>
                  </w14:solidFill>
                </w14:textFill>
              </w:rPr>
            </w:pPr>
          </w:p>
        </w:tc>
      </w:tr>
    </w:tbl>
    <w:p w14:paraId="2AE70D23">
      <w:pPr>
        <w:rPr>
          <w:color w:val="000000" w:themeColor="text1"/>
          <w:highlight w:val="none"/>
          <w14:textFill>
            <w14:solidFill>
              <w14:schemeClr w14:val="tx1"/>
            </w14:solidFill>
          </w14:textFill>
        </w:rPr>
      </w:pPr>
    </w:p>
    <w:p w14:paraId="17A16E9A">
      <w:pPr>
        <w:rPr>
          <w:rFonts w:hint="eastAsia"/>
          <w:color w:val="000000" w:themeColor="text1"/>
          <w:highlight w:val="none"/>
          <w14:textFill>
            <w14:solidFill>
              <w14:schemeClr w14:val="tx1"/>
            </w14:solidFill>
          </w14:textFill>
        </w:rPr>
      </w:pPr>
      <w:bookmarkStart w:id="90" w:name="_Toc171002374"/>
      <w:r>
        <w:rPr>
          <w:rFonts w:hint="eastAsia"/>
          <w:color w:val="000000" w:themeColor="text1"/>
          <w:highlight w:val="none"/>
          <w14:textFill>
            <w14:solidFill>
              <w14:schemeClr w14:val="tx1"/>
            </w14:solidFill>
          </w14:textFill>
        </w:rPr>
        <w:br w:type="page"/>
      </w:r>
    </w:p>
    <w:p w14:paraId="58B8C98A">
      <w:pPr>
        <w:pStyle w:val="3"/>
        <w:keepNext w:val="0"/>
        <w:keepLines w:val="0"/>
        <w:widowControl/>
        <w:numPr>
          <w:ilvl w:val="-1"/>
          <w:numId w:val="0"/>
        </w:numPr>
        <w:outlineLvl w:val="0"/>
        <w:rPr>
          <w:color w:val="000000" w:themeColor="text1"/>
          <w:highlight w:val="none"/>
          <w14:textFill>
            <w14:solidFill>
              <w14:schemeClr w14:val="tx1"/>
            </w14:solidFill>
          </w14:textFill>
        </w:rPr>
      </w:pPr>
      <w:bookmarkStart w:id="91" w:name="_Toc31799"/>
      <w:r>
        <w:rPr>
          <w:rFonts w:hint="eastAsia"/>
          <w:color w:val="000000" w:themeColor="text1"/>
          <w:highlight w:val="none"/>
          <w14:textFill>
            <w14:solidFill>
              <w14:schemeClr w14:val="tx1"/>
            </w14:solidFill>
          </w14:textFill>
        </w:rPr>
        <w:t>附件</w:t>
      </w:r>
      <w:r>
        <w:rPr>
          <w:color w:val="000000" w:themeColor="text1"/>
          <w:highlight w:val="none"/>
          <w14:textFill>
            <w14:solidFill>
              <w14:schemeClr w14:val="tx1"/>
            </w14:solidFill>
          </w14:textFill>
        </w:rPr>
        <w:t>7</w:t>
      </w:r>
      <w:r>
        <w:rPr>
          <w:rFonts w:hint="eastAsia"/>
          <w:color w:val="000000" w:themeColor="text1"/>
          <w:highlight w:val="none"/>
          <w14:textFill>
            <w14:solidFill>
              <w14:schemeClr w14:val="tx1"/>
            </w14:solidFill>
          </w14:textFill>
        </w:rPr>
        <w:t>交货进度</w:t>
      </w:r>
      <w:bookmarkEnd w:id="90"/>
      <w:bookmarkEnd w:id="91"/>
    </w:p>
    <w:p w14:paraId="4A833D30">
      <w:pPr>
        <w:adjustRightInd w:val="0"/>
        <w:spacing w:line="360" w:lineRule="auto"/>
        <w:ind w:firstLineChars="236"/>
        <w:jc w:val="both"/>
        <w:textAlignment w:val="baseline"/>
        <w:outlineLvl w:val="9"/>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在满足时间要求的前提下根据</w:t>
      </w:r>
      <w:r>
        <w:rPr>
          <w:rFonts w:hint="eastAsia"/>
          <w:color w:val="000000" w:themeColor="text1"/>
          <w:sz w:val="24"/>
          <w:highlight w:val="none"/>
          <w:lang w:eastAsia="zh-CN"/>
          <w14:textFill>
            <w14:solidFill>
              <w14:schemeClr w14:val="tx1"/>
            </w14:solidFill>
          </w14:textFill>
        </w:rPr>
        <w:t>招标人</w:t>
      </w:r>
      <w:r>
        <w:rPr>
          <w:rFonts w:hint="eastAsia"/>
          <w:color w:val="000000" w:themeColor="text1"/>
          <w:sz w:val="24"/>
          <w:highlight w:val="none"/>
          <w14:textFill>
            <w14:solidFill>
              <w14:schemeClr w14:val="tx1"/>
            </w14:solidFill>
          </w14:textFill>
        </w:rPr>
        <w:t>工程进度需要交货，具体进度如下：</w:t>
      </w:r>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470"/>
        <w:gridCol w:w="4455"/>
      </w:tblGrid>
      <w:tr w14:paraId="58B6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735" w:type="dxa"/>
            <w:vAlign w:val="center"/>
          </w:tcPr>
          <w:p w14:paraId="2D52330F">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2520" w:type="dxa"/>
            <w:vAlign w:val="center"/>
          </w:tcPr>
          <w:p w14:paraId="2227E7EA">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设备</w:t>
            </w:r>
            <w:r>
              <w:rPr>
                <w:b/>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部件名称、型号</w:t>
            </w:r>
          </w:p>
        </w:tc>
        <w:tc>
          <w:tcPr>
            <w:tcW w:w="1470" w:type="dxa"/>
            <w:vAlign w:val="center"/>
          </w:tcPr>
          <w:p w14:paraId="6321164B">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交货地点</w:t>
            </w:r>
          </w:p>
        </w:tc>
        <w:tc>
          <w:tcPr>
            <w:tcW w:w="4455" w:type="dxa"/>
            <w:vAlign w:val="center"/>
          </w:tcPr>
          <w:p w14:paraId="5C987631">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交货时间</w:t>
            </w:r>
          </w:p>
        </w:tc>
      </w:tr>
      <w:tr w14:paraId="465E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62B522BF">
            <w:pPr>
              <w:spacing w:line="36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520" w:type="dxa"/>
            <w:vAlign w:val="center"/>
          </w:tcPr>
          <w:p w14:paraId="25C99BB6">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成套装置</w:t>
            </w:r>
          </w:p>
        </w:tc>
        <w:tc>
          <w:tcPr>
            <w:tcW w:w="1470" w:type="dxa"/>
            <w:vMerge w:val="restart"/>
            <w:vAlign w:val="center"/>
          </w:tcPr>
          <w:p w14:paraId="27FCA387">
            <w:pPr>
              <w:pStyle w:val="47"/>
              <w:spacing w:after="160"/>
              <w:jc w:val="center"/>
              <w:rPr>
                <w:highlight w:val="none"/>
              </w:rPr>
            </w:pPr>
            <w:r>
              <w:rPr>
                <w:rFonts w:hint="eastAsia" w:ascii="宋体" w:hAnsi="宋体"/>
                <w:highlight w:val="none"/>
                <w:lang w:val="en-US" w:eastAsia="zh-CN"/>
              </w:rPr>
              <w:t>台州临港热电有限公司扩建</w:t>
            </w:r>
            <w:r>
              <w:rPr>
                <w:rFonts w:hint="eastAsia" w:ascii="宋体" w:hAnsi="宋体"/>
                <w:highlight w:val="none"/>
              </w:rPr>
              <w:t>项目</w:t>
            </w:r>
            <w:r>
              <w:rPr>
                <w:rFonts w:ascii="宋体" w:hAnsi="宋体"/>
                <w:highlight w:val="none"/>
              </w:rPr>
              <w:t>现场</w:t>
            </w:r>
          </w:p>
        </w:tc>
        <w:tc>
          <w:tcPr>
            <w:tcW w:w="4455" w:type="dxa"/>
            <w:vMerge w:val="restart"/>
            <w:vAlign w:val="center"/>
          </w:tcPr>
          <w:p w14:paraId="06330B7A">
            <w:pPr>
              <w:spacing w:after="160"/>
              <w:jc w:val="center"/>
              <w:rPr>
                <w:rFonts w:hint="default"/>
                <w:color w:val="000000" w:themeColor="text1"/>
                <w:highlight w:val="none"/>
                <w14:textFill>
                  <w14:solidFill>
                    <w14:schemeClr w14:val="tx1"/>
                  </w14:solidFill>
                </w14:textFill>
              </w:rPr>
            </w:pPr>
            <w:r>
              <w:rPr>
                <w:rFonts w:hint="eastAsia"/>
                <w:color w:val="000000" w:themeColor="text1"/>
                <w:kern w:val="2"/>
                <w:sz w:val="21"/>
                <w:szCs w:val="24"/>
                <w:highlight w:val="none"/>
                <w:lang w:val="en-US" w:eastAsia="zh-CN"/>
                <w14:textFill>
                  <w14:solidFill>
                    <w14:schemeClr w14:val="tx1"/>
                  </w14:solidFill>
                </w14:textFill>
              </w:rPr>
              <w:t>合同签订后2个月内，具体时间视工程进度而定</w:t>
            </w:r>
          </w:p>
        </w:tc>
      </w:tr>
      <w:tr w14:paraId="5582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4E9B9DF3">
            <w:pPr>
              <w:spacing w:line="36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520" w:type="dxa"/>
            <w:vAlign w:val="center"/>
          </w:tcPr>
          <w:p w14:paraId="0F1C02B7">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备品备件</w:t>
            </w:r>
          </w:p>
        </w:tc>
        <w:tc>
          <w:tcPr>
            <w:tcW w:w="1470" w:type="dxa"/>
            <w:vMerge w:val="continue"/>
            <w:vAlign w:val="center"/>
          </w:tcPr>
          <w:p w14:paraId="02374DBB">
            <w:pPr>
              <w:spacing w:after="160"/>
              <w:jc w:val="center"/>
              <w:rPr>
                <w:color w:val="000000" w:themeColor="text1"/>
                <w:highlight w:val="none"/>
                <w14:textFill>
                  <w14:solidFill>
                    <w14:schemeClr w14:val="tx1"/>
                  </w14:solidFill>
                </w14:textFill>
              </w:rPr>
            </w:pPr>
          </w:p>
        </w:tc>
        <w:tc>
          <w:tcPr>
            <w:tcW w:w="4455" w:type="dxa"/>
            <w:vMerge w:val="continue"/>
            <w:vAlign w:val="center"/>
          </w:tcPr>
          <w:p w14:paraId="50E37C0C">
            <w:pPr>
              <w:spacing w:after="160"/>
              <w:jc w:val="center"/>
              <w:rPr>
                <w:color w:val="000000" w:themeColor="text1"/>
                <w:highlight w:val="none"/>
                <w14:textFill>
                  <w14:solidFill>
                    <w14:schemeClr w14:val="tx1"/>
                  </w14:solidFill>
                </w14:textFill>
              </w:rPr>
            </w:pPr>
          </w:p>
        </w:tc>
      </w:tr>
      <w:tr w14:paraId="1F82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2B909E30">
            <w:pPr>
              <w:spacing w:line="36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520" w:type="dxa"/>
            <w:vAlign w:val="center"/>
          </w:tcPr>
          <w:p w14:paraId="6A969BF5">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专用工具</w:t>
            </w:r>
          </w:p>
        </w:tc>
        <w:tc>
          <w:tcPr>
            <w:tcW w:w="1470" w:type="dxa"/>
            <w:vMerge w:val="continue"/>
            <w:vAlign w:val="center"/>
          </w:tcPr>
          <w:p w14:paraId="06EA6367">
            <w:pPr>
              <w:spacing w:after="160"/>
              <w:jc w:val="center"/>
              <w:rPr>
                <w:color w:val="000000" w:themeColor="text1"/>
                <w:highlight w:val="none"/>
                <w14:textFill>
                  <w14:solidFill>
                    <w14:schemeClr w14:val="tx1"/>
                  </w14:solidFill>
                </w14:textFill>
              </w:rPr>
            </w:pPr>
          </w:p>
        </w:tc>
        <w:tc>
          <w:tcPr>
            <w:tcW w:w="4455" w:type="dxa"/>
            <w:vMerge w:val="continue"/>
            <w:vAlign w:val="center"/>
          </w:tcPr>
          <w:p w14:paraId="0317FEA0">
            <w:pPr>
              <w:spacing w:after="160"/>
              <w:jc w:val="center"/>
              <w:rPr>
                <w:color w:val="000000" w:themeColor="text1"/>
                <w:highlight w:val="none"/>
                <w14:textFill>
                  <w14:solidFill>
                    <w14:schemeClr w14:val="tx1"/>
                  </w14:solidFill>
                </w14:textFill>
              </w:rPr>
            </w:pPr>
          </w:p>
        </w:tc>
      </w:tr>
      <w:tr w14:paraId="7502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1B24C1EB">
            <w:pPr>
              <w:spacing w:line="36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520" w:type="dxa"/>
            <w:vAlign w:val="center"/>
          </w:tcPr>
          <w:p w14:paraId="694408B2">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其它</w:t>
            </w:r>
          </w:p>
        </w:tc>
        <w:tc>
          <w:tcPr>
            <w:tcW w:w="1470" w:type="dxa"/>
            <w:vMerge w:val="continue"/>
            <w:vAlign w:val="center"/>
          </w:tcPr>
          <w:p w14:paraId="76A423E7">
            <w:pPr>
              <w:spacing w:after="160"/>
              <w:jc w:val="center"/>
              <w:rPr>
                <w:color w:val="000000" w:themeColor="text1"/>
                <w:highlight w:val="none"/>
                <w14:textFill>
                  <w14:solidFill>
                    <w14:schemeClr w14:val="tx1"/>
                  </w14:solidFill>
                </w14:textFill>
              </w:rPr>
            </w:pPr>
          </w:p>
        </w:tc>
        <w:tc>
          <w:tcPr>
            <w:tcW w:w="4455" w:type="dxa"/>
            <w:vMerge w:val="continue"/>
            <w:vAlign w:val="center"/>
          </w:tcPr>
          <w:p w14:paraId="76F9491A">
            <w:pPr>
              <w:spacing w:after="160"/>
              <w:jc w:val="center"/>
              <w:rPr>
                <w:color w:val="000000" w:themeColor="text1"/>
                <w:highlight w:val="none"/>
                <w14:textFill>
                  <w14:solidFill>
                    <w14:schemeClr w14:val="tx1"/>
                  </w14:solidFill>
                </w14:textFill>
              </w:rPr>
            </w:pPr>
          </w:p>
        </w:tc>
      </w:tr>
    </w:tbl>
    <w:p w14:paraId="66BFE407">
      <w:pPr>
        <w:rPr>
          <w:rFonts w:hint="eastAsia"/>
          <w:color w:val="000000" w:themeColor="text1"/>
          <w:highlight w:val="none"/>
          <w14:textFill>
            <w14:solidFill>
              <w14:schemeClr w14:val="tx1"/>
            </w14:solidFill>
          </w14:textFill>
        </w:rPr>
      </w:pPr>
      <w:bookmarkStart w:id="92" w:name="_Toc214251481"/>
      <w:bookmarkStart w:id="93" w:name="_Toc213166691"/>
      <w:bookmarkStart w:id="94" w:name="_Toc171002375"/>
      <w:r>
        <w:rPr>
          <w:rFonts w:hint="eastAsia"/>
          <w:color w:val="000000" w:themeColor="text1"/>
          <w:highlight w:val="none"/>
          <w14:textFill>
            <w14:solidFill>
              <w14:schemeClr w14:val="tx1"/>
            </w14:solidFill>
          </w14:textFill>
        </w:rPr>
        <w:br w:type="page"/>
      </w:r>
    </w:p>
    <w:p w14:paraId="27BCD146">
      <w:pPr>
        <w:pStyle w:val="3"/>
        <w:keepNext w:val="0"/>
        <w:keepLines w:val="0"/>
        <w:widowControl/>
        <w:numPr>
          <w:ilvl w:val="-1"/>
          <w:numId w:val="0"/>
        </w:numPr>
        <w:outlineLvl w:val="0"/>
        <w:rPr>
          <w:color w:val="000000" w:themeColor="text1"/>
          <w:highlight w:val="none"/>
          <w14:textFill>
            <w14:solidFill>
              <w14:schemeClr w14:val="tx1"/>
            </w14:solidFill>
          </w14:textFill>
        </w:rPr>
      </w:pPr>
      <w:bookmarkStart w:id="95" w:name="_Toc20338"/>
      <w:r>
        <w:rPr>
          <w:rFonts w:hint="eastAsia"/>
          <w:color w:val="000000" w:themeColor="text1"/>
          <w:highlight w:val="none"/>
          <w14:textFill>
            <w14:solidFill>
              <w14:schemeClr w14:val="tx1"/>
            </w14:solidFill>
          </w14:textFill>
        </w:rPr>
        <w:t>附件</w:t>
      </w:r>
      <w:r>
        <w:rPr>
          <w:color w:val="000000" w:themeColor="text1"/>
          <w:highlight w:val="none"/>
          <w14:textFill>
            <w14:solidFill>
              <w14:schemeClr w14:val="tx1"/>
            </w14:solidFill>
          </w14:textFill>
        </w:rPr>
        <w:t>8</w:t>
      </w:r>
      <w:r>
        <w:rPr>
          <w:rFonts w:hint="eastAsia"/>
          <w:color w:val="000000" w:themeColor="text1"/>
          <w:highlight w:val="none"/>
          <w14:textFill>
            <w14:solidFill>
              <w14:schemeClr w14:val="tx1"/>
            </w14:solidFill>
          </w14:textFill>
        </w:rPr>
        <w:t>差异表</w:t>
      </w:r>
      <w:bookmarkEnd w:id="92"/>
      <w:bookmarkEnd w:id="93"/>
      <w:bookmarkEnd w:id="94"/>
      <w:bookmarkEnd w:id="95"/>
    </w:p>
    <w:p w14:paraId="44AA6EA6">
      <w:pPr>
        <w:tabs>
          <w:tab w:val="left" w:pos="630"/>
        </w:tabs>
        <w:spacing w:line="360" w:lineRule="auto"/>
        <w:rPr>
          <w:color w:val="000000" w:themeColor="text1"/>
          <w:kern w:val="0"/>
          <w:sz w:val="24"/>
          <w:highlight w:val="none"/>
          <w14:textFill>
            <w14:solidFill>
              <w14:schemeClr w14:val="tx1"/>
            </w14:solidFill>
          </w14:textFill>
        </w:rPr>
      </w:pPr>
      <w:r>
        <w:rPr>
          <w:rFonts w:ascii="Arial" w:hAnsi="Arial" w:cs="Arial"/>
          <w:color w:val="000000" w:themeColor="text1"/>
          <w:highlight w:val="none"/>
          <w14:textFill>
            <w14:solidFill>
              <w14:schemeClr w14:val="tx1"/>
            </w14:solidFill>
          </w14:textFill>
        </w:rPr>
        <w:tab/>
      </w:r>
      <w:r>
        <w:rPr>
          <w:rFonts w:hint="eastAsia"/>
          <w:color w:val="000000" w:themeColor="text1"/>
          <w:kern w:val="0"/>
          <w:sz w:val="24"/>
          <w:highlight w:val="none"/>
          <w14:textFill>
            <w14:solidFill>
              <w14:schemeClr w14:val="tx1"/>
            </w14:solidFill>
          </w14:textFill>
        </w:rPr>
        <w:t>投标人要将投标文件和招标文件的差异之处汇集成表。技术部分和商务部分要单独列表，将技术部分的差异表列入本卷之中。</w:t>
      </w:r>
    </w:p>
    <w:tbl>
      <w:tblPr>
        <w:tblStyle w:val="25"/>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05"/>
        <w:gridCol w:w="1290"/>
        <w:gridCol w:w="2563"/>
        <w:gridCol w:w="1214"/>
        <w:gridCol w:w="2794"/>
      </w:tblGrid>
      <w:tr w14:paraId="6D1836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45" w:hRule="atLeast"/>
        </w:trPr>
        <w:tc>
          <w:tcPr>
            <w:tcW w:w="1005" w:type="dxa"/>
            <w:vMerge w:val="restart"/>
            <w:vAlign w:val="center"/>
          </w:tcPr>
          <w:p w14:paraId="474FD5BA">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序号</w:t>
            </w:r>
          </w:p>
        </w:tc>
        <w:tc>
          <w:tcPr>
            <w:tcW w:w="3853" w:type="dxa"/>
            <w:gridSpan w:val="2"/>
            <w:vAlign w:val="center"/>
          </w:tcPr>
          <w:p w14:paraId="52F5E350">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招标文件</w:t>
            </w:r>
          </w:p>
        </w:tc>
        <w:tc>
          <w:tcPr>
            <w:tcW w:w="4008" w:type="dxa"/>
            <w:gridSpan w:val="2"/>
            <w:vAlign w:val="center"/>
          </w:tcPr>
          <w:p w14:paraId="37C3C491">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投标文件</w:t>
            </w:r>
          </w:p>
        </w:tc>
      </w:tr>
      <w:tr w14:paraId="110217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58" w:hRule="atLeast"/>
        </w:trPr>
        <w:tc>
          <w:tcPr>
            <w:tcW w:w="1005" w:type="dxa"/>
            <w:vMerge w:val="continue"/>
            <w:vAlign w:val="center"/>
          </w:tcPr>
          <w:p w14:paraId="7957DCB2">
            <w:pPr>
              <w:tabs>
                <w:tab w:val="left" w:pos="630"/>
              </w:tabs>
              <w:spacing w:line="360" w:lineRule="auto"/>
              <w:jc w:val="center"/>
              <w:rPr>
                <w:rFonts w:ascii="Arial" w:hAnsi="Arial" w:cs="Arial"/>
                <w:color w:val="000000" w:themeColor="text1"/>
                <w:highlight w:val="none"/>
                <w14:textFill>
                  <w14:solidFill>
                    <w14:schemeClr w14:val="tx1"/>
                  </w14:solidFill>
                </w14:textFill>
              </w:rPr>
            </w:pPr>
          </w:p>
        </w:tc>
        <w:tc>
          <w:tcPr>
            <w:tcW w:w="1290" w:type="dxa"/>
            <w:vAlign w:val="center"/>
          </w:tcPr>
          <w:p w14:paraId="39E55ED8">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条目</w:t>
            </w:r>
          </w:p>
        </w:tc>
        <w:tc>
          <w:tcPr>
            <w:tcW w:w="2562" w:type="dxa"/>
            <w:vAlign w:val="center"/>
          </w:tcPr>
          <w:p w14:paraId="4C11F772">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简要内容</w:t>
            </w:r>
          </w:p>
        </w:tc>
        <w:tc>
          <w:tcPr>
            <w:tcW w:w="1214" w:type="dxa"/>
            <w:vAlign w:val="center"/>
          </w:tcPr>
          <w:p w14:paraId="0160421F">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条目</w:t>
            </w:r>
          </w:p>
        </w:tc>
        <w:tc>
          <w:tcPr>
            <w:tcW w:w="2793" w:type="dxa"/>
            <w:vAlign w:val="center"/>
          </w:tcPr>
          <w:p w14:paraId="51CFEBEE">
            <w:pPr>
              <w:tabs>
                <w:tab w:val="left" w:pos="630"/>
              </w:tabs>
              <w:spacing w:line="360" w:lineRule="auto"/>
              <w:jc w:val="center"/>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简要内容</w:t>
            </w:r>
          </w:p>
        </w:tc>
      </w:tr>
      <w:tr w14:paraId="1D21C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6" w:hRule="atLeast"/>
        </w:trPr>
        <w:tc>
          <w:tcPr>
            <w:tcW w:w="1005" w:type="dxa"/>
          </w:tcPr>
          <w:p w14:paraId="4B83D2C4">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90" w:type="dxa"/>
          </w:tcPr>
          <w:p w14:paraId="4DB1EC36">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562" w:type="dxa"/>
          </w:tcPr>
          <w:p w14:paraId="0CE342C5">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14" w:type="dxa"/>
          </w:tcPr>
          <w:p w14:paraId="577D7BF6">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793" w:type="dxa"/>
          </w:tcPr>
          <w:p w14:paraId="607921FD">
            <w:pPr>
              <w:tabs>
                <w:tab w:val="left" w:pos="630"/>
              </w:tabs>
              <w:spacing w:line="360" w:lineRule="auto"/>
              <w:rPr>
                <w:rFonts w:ascii="Arial" w:hAnsi="Arial" w:cs="Arial"/>
                <w:color w:val="000000" w:themeColor="text1"/>
                <w:highlight w:val="none"/>
                <w14:textFill>
                  <w14:solidFill>
                    <w14:schemeClr w14:val="tx1"/>
                  </w14:solidFill>
                </w14:textFill>
              </w:rPr>
            </w:pPr>
          </w:p>
        </w:tc>
      </w:tr>
      <w:tr w14:paraId="4F5D6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6" w:hRule="atLeast"/>
        </w:trPr>
        <w:tc>
          <w:tcPr>
            <w:tcW w:w="1005" w:type="dxa"/>
          </w:tcPr>
          <w:p w14:paraId="398F0FF9">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90" w:type="dxa"/>
          </w:tcPr>
          <w:p w14:paraId="7115BAE5">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562" w:type="dxa"/>
          </w:tcPr>
          <w:p w14:paraId="3BC447AA">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14" w:type="dxa"/>
          </w:tcPr>
          <w:p w14:paraId="4D6CBCAF">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793" w:type="dxa"/>
          </w:tcPr>
          <w:p w14:paraId="6E5EAF84">
            <w:pPr>
              <w:tabs>
                <w:tab w:val="left" w:pos="630"/>
              </w:tabs>
              <w:spacing w:line="360" w:lineRule="auto"/>
              <w:rPr>
                <w:rFonts w:ascii="Arial" w:hAnsi="Arial" w:cs="Arial"/>
                <w:color w:val="000000" w:themeColor="text1"/>
                <w:highlight w:val="none"/>
                <w14:textFill>
                  <w14:solidFill>
                    <w14:schemeClr w14:val="tx1"/>
                  </w14:solidFill>
                </w14:textFill>
              </w:rPr>
            </w:pPr>
          </w:p>
        </w:tc>
      </w:tr>
      <w:tr w14:paraId="16D56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6" w:hRule="atLeast"/>
        </w:trPr>
        <w:tc>
          <w:tcPr>
            <w:tcW w:w="1005" w:type="dxa"/>
          </w:tcPr>
          <w:p w14:paraId="72E8678D">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90" w:type="dxa"/>
          </w:tcPr>
          <w:p w14:paraId="04DE952B">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562" w:type="dxa"/>
          </w:tcPr>
          <w:p w14:paraId="3BDC3D5F">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1214" w:type="dxa"/>
          </w:tcPr>
          <w:p w14:paraId="19CD1BD8">
            <w:pPr>
              <w:tabs>
                <w:tab w:val="left" w:pos="630"/>
              </w:tabs>
              <w:spacing w:line="360" w:lineRule="auto"/>
              <w:rPr>
                <w:rFonts w:ascii="Arial" w:hAnsi="Arial" w:cs="Arial"/>
                <w:color w:val="000000" w:themeColor="text1"/>
                <w:highlight w:val="none"/>
                <w14:textFill>
                  <w14:solidFill>
                    <w14:schemeClr w14:val="tx1"/>
                  </w14:solidFill>
                </w14:textFill>
              </w:rPr>
            </w:pPr>
          </w:p>
        </w:tc>
        <w:tc>
          <w:tcPr>
            <w:tcW w:w="2793" w:type="dxa"/>
          </w:tcPr>
          <w:p w14:paraId="66D59274">
            <w:pPr>
              <w:tabs>
                <w:tab w:val="left" w:pos="630"/>
              </w:tabs>
              <w:spacing w:line="360" w:lineRule="auto"/>
              <w:rPr>
                <w:rFonts w:ascii="Arial" w:hAnsi="Arial" w:cs="Arial"/>
                <w:color w:val="000000" w:themeColor="text1"/>
                <w:highlight w:val="none"/>
                <w14:textFill>
                  <w14:solidFill>
                    <w14:schemeClr w14:val="tx1"/>
                  </w14:solidFill>
                </w14:textFill>
              </w:rPr>
            </w:pPr>
          </w:p>
        </w:tc>
      </w:tr>
    </w:tbl>
    <w:p w14:paraId="65715E64">
      <w:pPr>
        <w:rPr>
          <w:color w:val="000000" w:themeColor="text1"/>
          <w:highlight w:val="none"/>
          <w14:textFill>
            <w14:solidFill>
              <w14:schemeClr w14:val="tx1"/>
            </w14:solidFill>
          </w14:textFill>
        </w:rPr>
      </w:pPr>
    </w:p>
    <w:p w14:paraId="4D1267ED">
      <w:pPr>
        <w:rPr>
          <w:rFonts w:hint="eastAsia" w:hAnsi="宋体" w:cs="宋体"/>
          <w:sz w:val="30"/>
          <w:szCs w:val="30"/>
          <w:highlight w:val="none"/>
        </w:rPr>
      </w:pPr>
      <w:bookmarkStart w:id="96" w:name="_Toc201065489"/>
      <w:bookmarkStart w:id="97" w:name="_Toc286159476"/>
      <w:bookmarkStart w:id="98" w:name="_Toc98357965"/>
      <w:bookmarkStart w:id="99" w:name="_Toc501817581"/>
      <w:bookmarkStart w:id="100" w:name="_Toc517056034"/>
      <w:r>
        <w:rPr>
          <w:rFonts w:hint="eastAsia" w:hAnsi="宋体" w:cs="宋体"/>
          <w:sz w:val="30"/>
          <w:szCs w:val="30"/>
          <w:highlight w:val="none"/>
        </w:rPr>
        <w:br w:type="page"/>
      </w:r>
    </w:p>
    <w:p w14:paraId="258FFCD9">
      <w:pPr>
        <w:pStyle w:val="3"/>
        <w:numPr>
          <w:ilvl w:val="-1"/>
          <w:numId w:val="0"/>
        </w:numPr>
        <w:rPr>
          <w:rFonts w:hint="eastAsia" w:hAnsi="宋体" w:cs="宋体"/>
          <w:sz w:val="30"/>
          <w:szCs w:val="30"/>
          <w:highlight w:val="none"/>
        </w:rPr>
      </w:pPr>
      <w:bookmarkStart w:id="101" w:name="_Toc22050"/>
      <w:r>
        <w:rPr>
          <w:rFonts w:hint="eastAsia" w:hAnsi="宋体" w:cs="宋体"/>
          <w:sz w:val="30"/>
          <w:szCs w:val="30"/>
          <w:highlight w:val="none"/>
        </w:rPr>
        <w:t>附件</w:t>
      </w:r>
      <w:r>
        <w:rPr>
          <w:rFonts w:hint="eastAsia" w:hAnsi="宋体" w:cs="宋体"/>
          <w:sz w:val="30"/>
          <w:szCs w:val="30"/>
          <w:highlight w:val="none"/>
          <w:lang w:val="en-US" w:eastAsia="zh-CN"/>
        </w:rPr>
        <w:t>9</w:t>
      </w:r>
      <w:r>
        <w:rPr>
          <w:rFonts w:hint="eastAsia" w:hAnsi="宋体" w:cs="宋体"/>
          <w:sz w:val="30"/>
          <w:szCs w:val="30"/>
          <w:highlight w:val="none"/>
        </w:rPr>
        <w:t xml:space="preserve"> 运行维护手册</w:t>
      </w:r>
      <w:bookmarkEnd w:id="96"/>
      <w:bookmarkEnd w:id="97"/>
      <w:bookmarkEnd w:id="98"/>
      <w:bookmarkEnd w:id="101"/>
    </w:p>
    <w:p w14:paraId="28B81D88">
      <w:pPr>
        <w:spacing w:line="500" w:lineRule="exact"/>
        <w:rPr>
          <w:rFonts w:hint="eastAsia" w:ascii="宋体" w:hAnsi="宋体" w:cs="宋体"/>
          <w:highlight w:val="none"/>
        </w:rPr>
      </w:pPr>
      <w:r>
        <w:rPr>
          <w:rFonts w:hint="eastAsia" w:ascii="宋体" w:hAnsi="宋体" w:cs="宋体"/>
          <w:highlight w:val="none"/>
        </w:rPr>
        <w:t>运行维护手册格式要求如下：</w:t>
      </w:r>
    </w:p>
    <w:p w14:paraId="17DF14DA">
      <w:pPr>
        <w:spacing w:line="500" w:lineRule="exact"/>
        <w:rPr>
          <w:rFonts w:hint="eastAsia" w:ascii="宋体" w:hAnsi="宋体" w:cs="宋体"/>
          <w:sz w:val="28"/>
          <w:highlight w:val="none"/>
        </w:rPr>
      </w:pPr>
    </w:p>
    <w:p w14:paraId="215E94D6">
      <w:pPr>
        <w:adjustRightInd w:val="0"/>
        <w:spacing w:line="500" w:lineRule="exact"/>
        <w:jc w:val="center"/>
        <w:textAlignment w:val="baseline"/>
        <w:rPr>
          <w:b/>
          <w:sz w:val="52"/>
          <w:szCs w:val="52"/>
          <w:highlight w:val="none"/>
        </w:rPr>
      </w:pPr>
      <w:r>
        <w:rPr>
          <w:rFonts w:hint="eastAsia"/>
          <w:b/>
          <w:sz w:val="52"/>
          <w:szCs w:val="52"/>
          <w:highlight w:val="none"/>
        </w:rPr>
        <w:t>台州临港热电有限公司扩建项目</w:t>
      </w:r>
    </w:p>
    <w:p w14:paraId="7BD21FFB">
      <w:pPr>
        <w:adjustRightInd w:val="0"/>
        <w:spacing w:line="500" w:lineRule="exact"/>
        <w:jc w:val="center"/>
        <w:textAlignment w:val="baseline"/>
        <w:rPr>
          <w:b/>
          <w:sz w:val="52"/>
          <w:szCs w:val="52"/>
          <w:highlight w:val="none"/>
        </w:rPr>
      </w:pPr>
    </w:p>
    <w:p w14:paraId="43DF18F6">
      <w:pPr>
        <w:spacing w:line="500" w:lineRule="exact"/>
        <w:jc w:val="center"/>
        <w:rPr>
          <w:rFonts w:ascii="宋体" w:hAnsi="宋体"/>
          <w:b/>
          <w:sz w:val="44"/>
          <w:szCs w:val="44"/>
          <w:highlight w:val="none"/>
        </w:rPr>
      </w:pPr>
      <w:r>
        <w:rPr>
          <w:rFonts w:hint="eastAsia" w:ascii="宋体" w:hAnsi="宋体"/>
          <w:b/>
          <w:sz w:val="44"/>
          <w:szCs w:val="44"/>
          <w:highlight w:val="none"/>
        </w:rPr>
        <w:t>大屏幕系统及操作台</w:t>
      </w:r>
    </w:p>
    <w:p w14:paraId="0D16C499">
      <w:pPr>
        <w:spacing w:line="500" w:lineRule="exact"/>
        <w:jc w:val="center"/>
        <w:rPr>
          <w:rFonts w:ascii="宋体" w:hAnsi="宋体"/>
          <w:b/>
          <w:sz w:val="44"/>
          <w:szCs w:val="44"/>
          <w:highlight w:val="none"/>
        </w:rPr>
      </w:pPr>
    </w:p>
    <w:p w14:paraId="00B8349A">
      <w:pPr>
        <w:spacing w:line="500" w:lineRule="exact"/>
        <w:jc w:val="center"/>
        <w:rPr>
          <w:rFonts w:ascii="宋体" w:hAnsi="宋体"/>
          <w:b/>
          <w:sz w:val="32"/>
          <w:highlight w:val="none"/>
        </w:rPr>
      </w:pPr>
      <w:r>
        <w:rPr>
          <w:rFonts w:hint="eastAsia" w:ascii="宋体" w:hAnsi="宋体"/>
          <w:b/>
          <w:sz w:val="32"/>
          <w:highlight w:val="none"/>
        </w:rPr>
        <w:t>运</w:t>
      </w:r>
      <w:r>
        <w:rPr>
          <w:rFonts w:ascii="宋体" w:hAnsi="宋体"/>
          <w:b/>
          <w:sz w:val="32"/>
          <w:highlight w:val="none"/>
        </w:rPr>
        <w:t xml:space="preserve">  </w:t>
      </w:r>
      <w:r>
        <w:rPr>
          <w:rFonts w:hint="eastAsia" w:ascii="宋体" w:hAnsi="宋体"/>
          <w:b/>
          <w:sz w:val="32"/>
          <w:highlight w:val="none"/>
        </w:rPr>
        <w:t>行</w:t>
      </w:r>
      <w:r>
        <w:rPr>
          <w:rFonts w:ascii="宋体" w:hAnsi="宋体"/>
          <w:b/>
          <w:sz w:val="32"/>
          <w:highlight w:val="none"/>
        </w:rPr>
        <w:t xml:space="preserve">  </w:t>
      </w:r>
      <w:r>
        <w:rPr>
          <w:rFonts w:hint="eastAsia" w:ascii="宋体" w:hAnsi="宋体"/>
          <w:b/>
          <w:sz w:val="32"/>
          <w:highlight w:val="none"/>
        </w:rPr>
        <w:t>维</w:t>
      </w:r>
      <w:r>
        <w:rPr>
          <w:rFonts w:ascii="宋体" w:hAnsi="宋体"/>
          <w:b/>
          <w:sz w:val="32"/>
          <w:highlight w:val="none"/>
        </w:rPr>
        <w:t xml:space="preserve">  </w:t>
      </w:r>
      <w:r>
        <w:rPr>
          <w:rFonts w:hint="eastAsia" w:ascii="宋体" w:hAnsi="宋体"/>
          <w:b/>
          <w:sz w:val="32"/>
          <w:highlight w:val="none"/>
        </w:rPr>
        <w:t>护</w:t>
      </w:r>
    </w:p>
    <w:p w14:paraId="3E1766E0">
      <w:pPr>
        <w:spacing w:line="500" w:lineRule="exact"/>
        <w:jc w:val="center"/>
        <w:rPr>
          <w:rFonts w:hint="eastAsia" w:ascii="宋体" w:hAnsi="宋体" w:cs="宋体"/>
          <w:b/>
          <w:sz w:val="32"/>
          <w:highlight w:val="none"/>
        </w:rPr>
      </w:pPr>
    </w:p>
    <w:p w14:paraId="5D616172">
      <w:pPr>
        <w:spacing w:line="500" w:lineRule="exact"/>
        <w:jc w:val="center"/>
        <w:rPr>
          <w:rFonts w:hint="eastAsia" w:ascii="宋体" w:hAnsi="宋体" w:cs="宋体"/>
          <w:b/>
          <w:sz w:val="32"/>
          <w:highlight w:val="none"/>
        </w:rPr>
      </w:pPr>
      <w:r>
        <w:rPr>
          <w:rFonts w:hint="eastAsia" w:ascii="宋体" w:hAnsi="宋体" w:cs="宋体"/>
          <w:b/>
          <w:sz w:val="32"/>
          <w:highlight w:val="none"/>
        </w:rPr>
        <w:t>手</w:t>
      </w:r>
    </w:p>
    <w:p w14:paraId="4C7D8953">
      <w:pPr>
        <w:spacing w:line="500" w:lineRule="exact"/>
        <w:jc w:val="center"/>
        <w:rPr>
          <w:rFonts w:hint="eastAsia" w:ascii="宋体" w:hAnsi="宋体" w:cs="宋体"/>
          <w:b/>
          <w:sz w:val="32"/>
          <w:highlight w:val="none"/>
        </w:rPr>
      </w:pPr>
    </w:p>
    <w:p w14:paraId="0B21F4AE">
      <w:pPr>
        <w:spacing w:line="500" w:lineRule="exact"/>
        <w:jc w:val="center"/>
        <w:rPr>
          <w:rFonts w:hint="eastAsia" w:ascii="宋体" w:hAnsi="宋体" w:cs="宋体"/>
          <w:b/>
          <w:sz w:val="32"/>
          <w:highlight w:val="none"/>
        </w:rPr>
      </w:pPr>
      <w:r>
        <w:rPr>
          <w:rFonts w:hint="eastAsia" w:ascii="宋体" w:hAnsi="宋体" w:cs="宋体"/>
          <w:b/>
          <w:sz w:val="32"/>
          <w:highlight w:val="none"/>
        </w:rPr>
        <w:t>册</w:t>
      </w:r>
    </w:p>
    <w:p w14:paraId="35327C2A">
      <w:pPr>
        <w:spacing w:line="500" w:lineRule="exact"/>
        <w:jc w:val="center"/>
        <w:rPr>
          <w:rFonts w:hint="eastAsia" w:ascii="宋体" w:hAnsi="宋体" w:cs="宋体"/>
          <w:b/>
          <w:highlight w:val="none"/>
        </w:rPr>
      </w:pPr>
    </w:p>
    <w:p w14:paraId="5F8C1D74">
      <w:pPr>
        <w:spacing w:line="500" w:lineRule="exact"/>
        <w:rPr>
          <w:rFonts w:hint="eastAsia" w:ascii="宋体" w:hAnsi="宋体" w:cs="宋体"/>
          <w:highlight w:val="none"/>
        </w:rPr>
      </w:pPr>
      <w:r>
        <w:rPr>
          <w:rFonts w:hint="eastAsia" w:ascii="宋体" w:hAnsi="宋体" w:cs="宋体"/>
          <w:highlight w:val="none"/>
        </w:rPr>
        <w:t>要求：一式10套</w:t>
      </w:r>
    </w:p>
    <w:p w14:paraId="0F236989">
      <w:pPr>
        <w:spacing w:line="500" w:lineRule="exact"/>
        <w:rPr>
          <w:rFonts w:hint="eastAsia" w:ascii="宋体" w:hAnsi="宋体" w:cs="宋体"/>
          <w:highlight w:val="none"/>
        </w:rPr>
      </w:pPr>
      <w:r>
        <w:rPr>
          <w:rFonts w:hint="eastAsia" w:ascii="宋体" w:hAnsi="宋体" w:cs="宋体"/>
          <w:highlight w:val="none"/>
        </w:rPr>
        <w:t>纸张：A4</w:t>
      </w:r>
    </w:p>
    <w:p w14:paraId="68076972">
      <w:pPr>
        <w:spacing w:line="500" w:lineRule="exact"/>
        <w:rPr>
          <w:rFonts w:hint="eastAsia" w:ascii="宋体" w:hAnsi="宋体" w:cs="宋体"/>
          <w:highlight w:val="none"/>
        </w:rPr>
      </w:pPr>
      <w:r>
        <w:rPr>
          <w:rFonts w:hint="eastAsia" w:ascii="宋体" w:hAnsi="宋体" w:cs="宋体"/>
          <w:highlight w:val="none"/>
        </w:rPr>
        <w:t>字体：宋体，小四号</w:t>
      </w:r>
    </w:p>
    <w:p w14:paraId="77DC569B">
      <w:pPr>
        <w:spacing w:line="500" w:lineRule="exact"/>
        <w:rPr>
          <w:rFonts w:hint="eastAsia" w:ascii="宋体" w:hAnsi="宋体" w:cs="宋体"/>
          <w:highlight w:val="none"/>
        </w:rPr>
      </w:pPr>
      <w:r>
        <w:rPr>
          <w:rFonts w:hint="eastAsia" w:ascii="宋体" w:hAnsi="宋体" w:cs="宋体"/>
          <w:highlight w:val="none"/>
        </w:rPr>
        <w:t>行间距：1.5倍</w:t>
      </w:r>
    </w:p>
    <w:p w14:paraId="570B5AF9">
      <w:pPr>
        <w:spacing w:line="500" w:lineRule="exact"/>
        <w:rPr>
          <w:rFonts w:hint="eastAsia" w:ascii="宋体" w:hAnsi="宋体" w:cs="宋体"/>
          <w:highlight w:val="none"/>
        </w:rPr>
      </w:pPr>
      <w:r>
        <w:rPr>
          <w:rFonts w:hint="eastAsia" w:ascii="宋体" w:hAnsi="宋体" w:cs="宋体"/>
          <w:highlight w:val="none"/>
        </w:rPr>
        <w:t>页边距（mm）：左-30  右-25  上-30  下-40</w:t>
      </w:r>
    </w:p>
    <w:p w14:paraId="6E00231D">
      <w:pPr>
        <w:spacing w:line="500" w:lineRule="exact"/>
        <w:rPr>
          <w:rFonts w:hint="eastAsia" w:ascii="宋体" w:hAnsi="宋体" w:cs="宋体"/>
          <w:highlight w:val="none"/>
        </w:rPr>
      </w:pPr>
      <w:r>
        <w:rPr>
          <w:rFonts w:hint="eastAsia" w:ascii="宋体" w:hAnsi="宋体" w:cs="宋体"/>
          <w:highlight w:val="none"/>
        </w:rPr>
        <w:t>页眉：XX大屏显示系统设备维护手册</w:t>
      </w:r>
    </w:p>
    <w:p w14:paraId="77F2431D">
      <w:pPr>
        <w:spacing w:line="500" w:lineRule="exact"/>
        <w:rPr>
          <w:rFonts w:hint="eastAsia" w:ascii="宋体" w:hAnsi="宋体" w:cs="宋体"/>
          <w:highlight w:val="none"/>
        </w:rPr>
      </w:pPr>
      <w:r>
        <w:rPr>
          <w:rFonts w:hint="eastAsia" w:ascii="宋体" w:hAnsi="宋体" w:cs="宋体"/>
          <w:highlight w:val="none"/>
        </w:rPr>
        <w:t>注：在正式提交前，先由</w:t>
      </w:r>
      <w:r>
        <w:rPr>
          <w:rFonts w:hint="eastAsia" w:ascii="宋体" w:hAnsi="宋体" w:cs="宋体"/>
          <w:highlight w:val="none"/>
          <w:lang w:eastAsia="zh-CN"/>
        </w:rPr>
        <w:t>招标人</w:t>
      </w:r>
      <w:r>
        <w:rPr>
          <w:rFonts w:hint="eastAsia" w:ascii="宋体" w:hAnsi="宋体" w:cs="宋体"/>
          <w:highlight w:val="none"/>
        </w:rPr>
        <w:t>审定。</w:t>
      </w:r>
    </w:p>
    <w:p w14:paraId="78D5FAF3">
      <w:pPr>
        <w:spacing w:line="500" w:lineRule="exact"/>
        <w:rPr>
          <w:rFonts w:hint="eastAsia" w:ascii="宋体" w:hAnsi="宋体" w:cs="宋体"/>
          <w:highlight w:val="none"/>
        </w:rPr>
      </w:pPr>
    </w:p>
    <w:p w14:paraId="523C5A91">
      <w:pPr>
        <w:spacing w:line="500" w:lineRule="exact"/>
        <w:ind w:firstLine="570"/>
        <w:rPr>
          <w:rFonts w:hint="eastAsia" w:ascii="宋体" w:hAnsi="宋体" w:cs="宋体"/>
          <w:highlight w:val="none"/>
        </w:rPr>
      </w:pPr>
      <w:r>
        <w:rPr>
          <w:rFonts w:hint="eastAsia" w:ascii="宋体" w:hAnsi="宋体" w:cs="宋体"/>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在提交之前，双方应商定维护手册的形式和内容。</w:t>
      </w:r>
    </w:p>
    <w:p w14:paraId="47A677AB">
      <w:pPr>
        <w:spacing w:line="500" w:lineRule="exact"/>
        <w:ind w:firstLine="570"/>
        <w:rPr>
          <w:rFonts w:hint="eastAsia" w:ascii="宋体" w:hAnsi="宋体" w:cs="宋体"/>
          <w:highlight w:val="none"/>
        </w:rPr>
      </w:pPr>
      <w:r>
        <w:rPr>
          <w:rFonts w:hint="eastAsia" w:ascii="宋体" w:hAnsi="宋体" w:cs="宋体"/>
          <w:highlight w:val="none"/>
        </w:rPr>
        <w:t>手册中应能够快速查阅运行参数、设备说明书、操作、维护和安全程度。</w:t>
      </w:r>
    </w:p>
    <w:p w14:paraId="58376913">
      <w:pPr>
        <w:spacing w:line="500" w:lineRule="exact"/>
        <w:ind w:firstLine="570"/>
        <w:rPr>
          <w:rFonts w:hint="eastAsia" w:ascii="宋体" w:hAnsi="宋体" w:cs="宋体"/>
          <w:highlight w:val="none"/>
        </w:rPr>
      </w:pPr>
      <w:r>
        <w:rPr>
          <w:rFonts w:hint="eastAsia" w:ascii="宋体" w:hAnsi="宋体" w:cs="宋体"/>
          <w:highlight w:val="none"/>
        </w:rPr>
        <w:t>运行和维护手册应包括，但不限于下述内容：</w:t>
      </w:r>
    </w:p>
    <w:p w14:paraId="347E1B25">
      <w:pPr>
        <w:tabs>
          <w:tab w:val="left" w:pos="360"/>
        </w:tabs>
        <w:spacing w:line="500" w:lineRule="exact"/>
        <w:rPr>
          <w:rFonts w:hint="eastAsia" w:ascii="宋体" w:hAnsi="宋体" w:cs="宋体"/>
          <w:highlight w:val="none"/>
        </w:rPr>
      </w:pPr>
      <w:r>
        <w:rPr>
          <w:rFonts w:hint="eastAsia" w:ascii="宋体" w:hAnsi="宋体" w:cs="宋体"/>
          <w:highlight w:val="none"/>
        </w:rPr>
        <w:t>设备概述，包括设备、系统说明、设备结构、功能说明、技术规范等。</w:t>
      </w:r>
    </w:p>
    <w:p w14:paraId="6311AA1E">
      <w:pPr>
        <w:tabs>
          <w:tab w:val="left" w:pos="360"/>
        </w:tabs>
        <w:spacing w:line="500" w:lineRule="exact"/>
        <w:rPr>
          <w:rFonts w:hint="eastAsia" w:ascii="宋体" w:hAnsi="宋体" w:cs="宋体"/>
          <w:highlight w:val="none"/>
        </w:rPr>
      </w:pPr>
      <w:r>
        <w:rPr>
          <w:rFonts w:hint="eastAsia" w:ascii="宋体" w:hAnsi="宋体" w:cs="宋体"/>
          <w:highlight w:val="none"/>
        </w:rPr>
        <w:t>设备维护的程序及注意事项。</w:t>
      </w:r>
    </w:p>
    <w:p w14:paraId="5DABE738">
      <w:pPr>
        <w:tabs>
          <w:tab w:val="left" w:pos="360"/>
        </w:tabs>
        <w:spacing w:line="500" w:lineRule="exact"/>
        <w:rPr>
          <w:rFonts w:hint="eastAsia" w:ascii="宋体" w:hAnsi="宋体" w:cs="宋体"/>
          <w:highlight w:val="none"/>
        </w:rPr>
      </w:pPr>
      <w:r>
        <w:rPr>
          <w:rFonts w:hint="eastAsia" w:ascii="宋体" w:hAnsi="宋体" w:cs="宋体"/>
          <w:highlight w:val="none"/>
        </w:rPr>
        <w:t>设备零、部件清单，包括名称、图号、规格、材质、制造厂家全称等。</w:t>
      </w:r>
    </w:p>
    <w:p w14:paraId="5198E229">
      <w:pPr>
        <w:tabs>
          <w:tab w:val="left" w:pos="360"/>
        </w:tabs>
        <w:spacing w:line="500" w:lineRule="exact"/>
        <w:rPr>
          <w:rFonts w:hint="eastAsia" w:ascii="宋体" w:hAnsi="宋体" w:cs="宋体"/>
          <w:highlight w:val="none"/>
        </w:rPr>
      </w:pPr>
      <w:r>
        <w:rPr>
          <w:rFonts w:hint="eastAsia" w:ascii="宋体" w:hAnsi="宋体" w:cs="宋体"/>
          <w:highlight w:val="none"/>
        </w:rPr>
        <w:t>设备易损件、消耗性材料清单，包括名称、规格、制造厂家全称等。</w:t>
      </w:r>
    </w:p>
    <w:p w14:paraId="7EBA27AA">
      <w:pPr>
        <w:spacing w:line="500" w:lineRule="exact"/>
        <w:ind w:firstLine="570"/>
        <w:rPr>
          <w:rFonts w:hint="eastAsia" w:ascii="宋体" w:hAnsi="宋体" w:cs="宋体"/>
          <w:highlight w:val="none"/>
        </w:rPr>
      </w:pPr>
      <w:r>
        <w:rPr>
          <w:rFonts w:hint="eastAsia" w:ascii="宋体" w:hAnsi="宋体" w:cs="宋体"/>
          <w:highlight w:val="none"/>
        </w:rPr>
        <w:t>为便于使用和查阅，手册应分成卷，每一卷包括封面的最大厚度为50mm。</w:t>
      </w:r>
    </w:p>
    <w:p w14:paraId="60F78181">
      <w:pPr>
        <w:spacing w:line="500" w:lineRule="exact"/>
        <w:ind w:firstLine="420"/>
        <w:rPr>
          <w:rFonts w:hint="eastAsia" w:ascii="宋体" w:hAnsi="宋体" w:cs="宋体"/>
          <w:highlight w:val="none"/>
        </w:rPr>
      </w:pPr>
      <w:r>
        <w:rPr>
          <w:rFonts w:hint="eastAsia" w:ascii="宋体" w:hAnsi="宋体" w:cs="宋体"/>
          <w:highlight w:val="none"/>
        </w:rPr>
        <w:t>每一卷的版式应尽可能地一致，每一部分的系统、设备等描述顺序也应一致。</w:t>
      </w:r>
      <w:bookmarkEnd w:id="99"/>
      <w:bookmarkEnd w:id="100"/>
    </w:p>
    <w:p w14:paraId="76387DB4">
      <w:pPr>
        <w:spacing w:line="500" w:lineRule="exact"/>
        <w:ind w:firstLine="420"/>
        <w:rPr>
          <w:rFonts w:hint="eastAsia" w:ascii="宋体" w:hAnsi="宋体" w:cs="宋体"/>
        </w:rPr>
      </w:pPr>
    </w:p>
    <w:p w14:paraId="70D6A231">
      <w:pPr>
        <w:spacing w:line="500" w:lineRule="exact"/>
        <w:ind w:firstLine="420"/>
        <w:rPr>
          <w:rFonts w:hint="eastAsia" w:ascii="宋体" w:hAnsi="宋体" w:cs="宋体"/>
        </w:rPr>
        <w:sectPr>
          <w:headerReference r:id="rId4" w:type="first"/>
          <w:footerReference r:id="rId6" w:type="first"/>
          <w:headerReference r:id="rId3" w:type="default"/>
          <w:footerReference r:id="rId5" w:type="default"/>
          <w:endnotePr>
            <w:numFmt w:val="decimal"/>
          </w:endnotePr>
          <w:pgSz w:w="11907" w:h="16840"/>
          <w:pgMar w:top="1418" w:right="1531" w:bottom="1418" w:left="1701" w:header="851" w:footer="1021" w:gutter="0"/>
          <w:pgNumType w:start="1"/>
          <w:cols w:space="720" w:num="1"/>
          <w:docGrid w:linePitch="326" w:charSpace="0"/>
        </w:sectPr>
      </w:pPr>
    </w:p>
    <w:p w14:paraId="067D9004">
      <w:pPr>
        <w:pStyle w:val="3"/>
        <w:numPr>
          <w:ilvl w:val="-1"/>
          <w:numId w:val="0"/>
        </w:numPr>
        <w:spacing w:before="0" w:after="0" w:line="500" w:lineRule="exact"/>
        <w:ind w:right="0"/>
        <w:rPr>
          <w:rFonts w:ascii="宋体"/>
          <w:sz w:val="28"/>
          <w:szCs w:val="28"/>
        </w:rPr>
      </w:pPr>
      <w:bookmarkStart w:id="102" w:name="_Toc316566364"/>
      <w:bookmarkStart w:id="103" w:name="_Toc9306"/>
      <w:bookmarkStart w:id="104" w:name="_Toc286159477"/>
      <w:bookmarkStart w:id="105" w:name="_Toc98357966"/>
      <w:r>
        <w:rPr>
          <w:rFonts w:hint="eastAsia" w:ascii="宋体"/>
          <w:sz w:val="28"/>
          <w:szCs w:val="28"/>
        </w:rPr>
        <w:t>附件10 技术差异表</w:t>
      </w:r>
      <w:bookmarkEnd w:id="102"/>
      <w:bookmarkEnd w:id="103"/>
    </w:p>
    <w:p w14:paraId="641231E5"/>
    <w:p w14:paraId="357521C5">
      <w:pPr>
        <w:spacing w:line="500" w:lineRule="exact"/>
        <w:ind w:firstLine="480" w:firstLineChars="200"/>
        <w:rPr>
          <w:kern w:val="0"/>
          <w:sz w:val="24"/>
        </w:rPr>
      </w:pPr>
      <w:r>
        <w:rPr>
          <w:kern w:val="0"/>
          <w:sz w:val="24"/>
        </w:rPr>
        <w:t>投标人要将投标文件和招标文件的差异之处汇集成表。技术部分和商务部分要单独列表，将技术部分的差异表列入本卷之中。</w:t>
      </w:r>
    </w:p>
    <w:p w14:paraId="0B4D0AE6">
      <w:pPr>
        <w:spacing w:line="500" w:lineRule="exact"/>
        <w:jc w:val="center"/>
        <w:rPr>
          <w:rFonts w:ascii="宋体" w:hAnsi="宋体"/>
          <w:sz w:val="24"/>
          <w:szCs w:val="24"/>
        </w:rPr>
      </w:pPr>
      <w:r>
        <w:rPr>
          <w:rFonts w:hint="eastAsia" w:ascii="宋体" w:hAnsi="宋体"/>
          <w:sz w:val="24"/>
          <w:szCs w:val="24"/>
        </w:rPr>
        <w:t>技  术  差  异  表</w:t>
      </w:r>
    </w:p>
    <w:tbl>
      <w:tblPr>
        <w:tblStyle w:val="25"/>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93"/>
        <w:gridCol w:w="1275"/>
        <w:gridCol w:w="2532"/>
        <w:gridCol w:w="1200"/>
        <w:gridCol w:w="2760"/>
      </w:tblGrid>
      <w:tr w14:paraId="033FB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93" w:type="dxa"/>
            <w:vMerge w:val="restart"/>
            <w:noWrap w:val="0"/>
            <w:vAlign w:val="center"/>
          </w:tcPr>
          <w:p w14:paraId="2066EA23">
            <w:pPr>
              <w:tabs>
                <w:tab w:val="left" w:pos="630"/>
              </w:tabs>
              <w:spacing w:line="360" w:lineRule="auto"/>
              <w:jc w:val="center"/>
              <w:rPr>
                <w:rFonts w:ascii="Arial" w:hAnsi="Arial" w:cs="Arial"/>
                <w:sz w:val="24"/>
                <w:szCs w:val="24"/>
              </w:rPr>
            </w:pPr>
            <w:r>
              <w:rPr>
                <w:rFonts w:ascii="Arial" w:hAnsi="Arial" w:cs="Arial"/>
                <w:sz w:val="24"/>
                <w:szCs w:val="24"/>
              </w:rPr>
              <w:t>序号</w:t>
            </w:r>
          </w:p>
        </w:tc>
        <w:tc>
          <w:tcPr>
            <w:tcW w:w="3807" w:type="dxa"/>
            <w:gridSpan w:val="2"/>
            <w:noWrap w:val="0"/>
            <w:vAlign w:val="center"/>
          </w:tcPr>
          <w:p w14:paraId="15606F14">
            <w:pPr>
              <w:tabs>
                <w:tab w:val="left" w:pos="630"/>
              </w:tabs>
              <w:spacing w:line="360" w:lineRule="auto"/>
              <w:jc w:val="center"/>
              <w:rPr>
                <w:rFonts w:ascii="Arial" w:hAnsi="Arial" w:cs="Arial"/>
                <w:sz w:val="24"/>
                <w:szCs w:val="24"/>
              </w:rPr>
            </w:pPr>
            <w:r>
              <w:rPr>
                <w:rFonts w:ascii="Arial" w:hAnsi="Arial" w:cs="Arial"/>
                <w:sz w:val="24"/>
                <w:szCs w:val="24"/>
              </w:rPr>
              <w:t>招标文件</w:t>
            </w:r>
          </w:p>
        </w:tc>
        <w:tc>
          <w:tcPr>
            <w:tcW w:w="3960" w:type="dxa"/>
            <w:gridSpan w:val="2"/>
            <w:noWrap w:val="0"/>
            <w:vAlign w:val="center"/>
          </w:tcPr>
          <w:p w14:paraId="1058F811">
            <w:pPr>
              <w:tabs>
                <w:tab w:val="left" w:pos="630"/>
              </w:tabs>
              <w:spacing w:line="360" w:lineRule="auto"/>
              <w:jc w:val="center"/>
              <w:rPr>
                <w:rFonts w:ascii="Arial" w:hAnsi="Arial" w:cs="Arial"/>
                <w:sz w:val="24"/>
                <w:szCs w:val="24"/>
              </w:rPr>
            </w:pPr>
            <w:r>
              <w:rPr>
                <w:rFonts w:ascii="Arial" w:hAnsi="Arial" w:cs="Arial"/>
                <w:sz w:val="24"/>
                <w:szCs w:val="24"/>
              </w:rPr>
              <w:t>投标文件</w:t>
            </w:r>
          </w:p>
        </w:tc>
      </w:tr>
      <w:tr w14:paraId="5CF7D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93" w:type="dxa"/>
            <w:vMerge w:val="continue"/>
            <w:noWrap w:val="0"/>
            <w:vAlign w:val="center"/>
          </w:tcPr>
          <w:p w14:paraId="3EB8CBFA">
            <w:pPr>
              <w:tabs>
                <w:tab w:val="left" w:pos="630"/>
              </w:tabs>
              <w:spacing w:line="360" w:lineRule="auto"/>
              <w:jc w:val="center"/>
              <w:rPr>
                <w:rFonts w:ascii="Arial" w:hAnsi="Arial" w:cs="Arial"/>
                <w:sz w:val="24"/>
                <w:szCs w:val="24"/>
              </w:rPr>
            </w:pPr>
          </w:p>
        </w:tc>
        <w:tc>
          <w:tcPr>
            <w:tcW w:w="1275" w:type="dxa"/>
            <w:noWrap w:val="0"/>
            <w:vAlign w:val="center"/>
          </w:tcPr>
          <w:p w14:paraId="6DAE852B">
            <w:pPr>
              <w:tabs>
                <w:tab w:val="left" w:pos="630"/>
              </w:tabs>
              <w:spacing w:line="360" w:lineRule="auto"/>
              <w:jc w:val="center"/>
              <w:rPr>
                <w:rFonts w:ascii="Arial" w:hAnsi="Arial" w:cs="Arial"/>
                <w:sz w:val="24"/>
                <w:szCs w:val="24"/>
              </w:rPr>
            </w:pPr>
            <w:r>
              <w:rPr>
                <w:rFonts w:ascii="Arial" w:hAnsi="Arial" w:cs="Arial"/>
                <w:sz w:val="24"/>
                <w:szCs w:val="24"/>
              </w:rPr>
              <w:t>条目</w:t>
            </w:r>
          </w:p>
        </w:tc>
        <w:tc>
          <w:tcPr>
            <w:tcW w:w="2532" w:type="dxa"/>
            <w:noWrap w:val="0"/>
            <w:vAlign w:val="center"/>
          </w:tcPr>
          <w:p w14:paraId="4B15D393">
            <w:pPr>
              <w:tabs>
                <w:tab w:val="left" w:pos="630"/>
              </w:tabs>
              <w:spacing w:line="360" w:lineRule="auto"/>
              <w:jc w:val="center"/>
              <w:rPr>
                <w:rFonts w:ascii="Arial" w:hAnsi="Arial" w:cs="Arial"/>
                <w:sz w:val="24"/>
                <w:szCs w:val="24"/>
              </w:rPr>
            </w:pPr>
            <w:r>
              <w:rPr>
                <w:rFonts w:ascii="Arial" w:hAnsi="Arial" w:cs="Arial"/>
                <w:sz w:val="24"/>
                <w:szCs w:val="24"/>
              </w:rPr>
              <w:t>简要内容</w:t>
            </w:r>
          </w:p>
        </w:tc>
        <w:tc>
          <w:tcPr>
            <w:tcW w:w="1200" w:type="dxa"/>
            <w:noWrap w:val="0"/>
            <w:vAlign w:val="center"/>
          </w:tcPr>
          <w:p w14:paraId="42BC794F">
            <w:pPr>
              <w:tabs>
                <w:tab w:val="left" w:pos="630"/>
              </w:tabs>
              <w:spacing w:line="360" w:lineRule="auto"/>
              <w:jc w:val="center"/>
              <w:rPr>
                <w:rFonts w:ascii="Arial" w:hAnsi="Arial" w:cs="Arial"/>
                <w:sz w:val="24"/>
                <w:szCs w:val="24"/>
              </w:rPr>
            </w:pPr>
            <w:r>
              <w:rPr>
                <w:rFonts w:ascii="Arial" w:hAnsi="Arial" w:cs="Arial"/>
                <w:sz w:val="24"/>
                <w:szCs w:val="24"/>
              </w:rPr>
              <w:t>条目</w:t>
            </w:r>
          </w:p>
        </w:tc>
        <w:tc>
          <w:tcPr>
            <w:tcW w:w="2760" w:type="dxa"/>
            <w:noWrap w:val="0"/>
            <w:vAlign w:val="center"/>
          </w:tcPr>
          <w:p w14:paraId="54C41780">
            <w:pPr>
              <w:tabs>
                <w:tab w:val="left" w:pos="630"/>
              </w:tabs>
              <w:spacing w:line="360" w:lineRule="auto"/>
              <w:jc w:val="center"/>
              <w:rPr>
                <w:rFonts w:ascii="Arial" w:hAnsi="Arial" w:cs="Arial"/>
                <w:sz w:val="24"/>
                <w:szCs w:val="24"/>
              </w:rPr>
            </w:pPr>
            <w:r>
              <w:rPr>
                <w:rFonts w:ascii="Arial" w:hAnsi="Arial" w:cs="Arial"/>
                <w:sz w:val="24"/>
                <w:szCs w:val="24"/>
              </w:rPr>
              <w:t>简要内容</w:t>
            </w:r>
          </w:p>
        </w:tc>
      </w:tr>
      <w:tr w14:paraId="7B25D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40F33D19">
            <w:pPr>
              <w:tabs>
                <w:tab w:val="left" w:pos="630"/>
              </w:tabs>
              <w:spacing w:line="360" w:lineRule="auto"/>
              <w:rPr>
                <w:rFonts w:ascii="Arial" w:hAnsi="Arial" w:cs="Arial"/>
                <w:sz w:val="24"/>
                <w:szCs w:val="24"/>
              </w:rPr>
            </w:pPr>
          </w:p>
        </w:tc>
        <w:tc>
          <w:tcPr>
            <w:tcW w:w="1275" w:type="dxa"/>
            <w:noWrap w:val="0"/>
            <w:vAlign w:val="top"/>
          </w:tcPr>
          <w:p w14:paraId="11CF8CF8">
            <w:pPr>
              <w:tabs>
                <w:tab w:val="left" w:pos="630"/>
              </w:tabs>
              <w:spacing w:line="360" w:lineRule="auto"/>
              <w:rPr>
                <w:rFonts w:ascii="Arial" w:hAnsi="Arial" w:cs="Arial"/>
                <w:sz w:val="24"/>
                <w:szCs w:val="24"/>
              </w:rPr>
            </w:pPr>
          </w:p>
        </w:tc>
        <w:tc>
          <w:tcPr>
            <w:tcW w:w="2532" w:type="dxa"/>
            <w:noWrap w:val="0"/>
            <w:vAlign w:val="top"/>
          </w:tcPr>
          <w:p w14:paraId="09091F18">
            <w:pPr>
              <w:tabs>
                <w:tab w:val="left" w:pos="630"/>
              </w:tabs>
              <w:spacing w:line="360" w:lineRule="auto"/>
              <w:rPr>
                <w:rFonts w:ascii="Arial" w:hAnsi="Arial" w:cs="Arial"/>
                <w:sz w:val="24"/>
                <w:szCs w:val="24"/>
              </w:rPr>
            </w:pPr>
          </w:p>
        </w:tc>
        <w:tc>
          <w:tcPr>
            <w:tcW w:w="1200" w:type="dxa"/>
            <w:noWrap w:val="0"/>
            <w:vAlign w:val="top"/>
          </w:tcPr>
          <w:p w14:paraId="0AFAC812">
            <w:pPr>
              <w:tabs>
                <w:tab w:val="left" w:pos="630"/>
              </w:tabs>
              <w:spacing w:line="360" w:lineRule="auto"/>
              <w:rPr>
                <w:rFonts w:ascii="Arial" w:hAnsi="Arial" w:cs="Arial"/>
                <w:sz w:val="24"/>
                <w:szCs w:val="24"/>
              </w:rPr>
            </w:pPr>
          </w:p>
        </w:tc>
        <w:tc>
          <w:tcPr>
            <w:tcW w:w="2760" w:type="dxa"/>
            <w:noWrap w:val="0"/>
            <w:vAlign w:val="top"/>
          </w:tcPr>
          <w:p w14:paraId="5B1F34DA">
            <w:pPr>
              <w:tabs>
                <w:tab w:val="left" w:pos="630"/>
              </w:tabs>
              <w:spacing w:line="360" w:lineRule="auto"/>
              <w:rPr>
                <w:rFonts w:ascii="Arial" w:hAnsi="Arial" w:cs="Arial"/>
                <w:sz w:val="24"/>
                <w:szCs w:val="24"/>
              </w:rPr>
            </w:pPr>
          </w:p>
        </w:tc>
      </w:tr>
      <w:tr w14:paraId="013F64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2B8A9CB4">
            <w:pPr>
              <w:tabs>
                <w:tab w:val="left" w:pos="630"/>
              </w:tabs>
              <w:spacing w:line="360" w:lineRule="auto"/>
              <w:rPr>
                <w:rFonts w:ascii="Arial" w:hAnsi="Arial" w:cs="Arial"/>
                <w:sz w:val="24"/>
                <w:szCs w:val="24"/>
              </w:rPr>
            </w:pPr>
          </w:p>
        </w:tc>
        <w:tc>
          <w:tcPr>
            <w:tcW w:w="1275" w:type="dxa"/>
            <w:noWrap w:val="0"/>
            <w:vAlign w:val="top"/>
          </w:tcPr>
          <w:p w14:paraId="79FDC570">
            <w:pPr>
              <w:tabs>
                <w:tab w:val="left" w:pos="630"/>
              </w:tabs>
              <w:spacing w:line="360" w:lineRule="auto"/>
              <w:rPr>
                <w:rFonts w:ascii="Arial" w:hAnsi="Arial" w:cs="Arial"/>
                <w:sz w:val="24"/>
                <w:szCs w:val="24"/>
              </w:rPr>
            </w:pPr>
          </w:p>
        </w:tc>
        <w:tc>
          <w:tcPr>
            <w:tcW w:w="2532" w:type="dxa"/>
            <w:noWrap w:val="0"/>
            <w:vAlign w:val="top"/>
          </w:tcPr>
          <w:p w14:paraId="4C9B8599">
            <w:pPr>
              <w:tabs>
                <w:tab w:val="left" w:pos="630"/>
              </w:tabs>
              <w:spacing w:line="360" w:lineRule="auto"/>
              <w:rPr>
                <w:rFonts w:ascii="Arial" w:hAnsi="Arial" w:cs="Arial"/>
                <w:sz w:val="24"/>
                <w:szCs w:val="24"/>
              </w:rPr>
            </w:pPr>
          </w:p>
        </w:tc>
        <w:tc>
          <w:tcPr>
            <w:tcW w:w="1200" w:type="dxa"/>
            <w:noWrap w:val="0"/>
            <w:vAlign w:val="top"/>
          </w:tcPr>
          <w:p w14:paraId="69194D5F">
            <w:pPr>
              <w:tabs>
                <w:tab w:val="left" w:pos="630"/>
              </w:tabs>
              <w:spacing w:line="360" w:lineRule="auto"/>
              <w:rPr>
                <w:rFonts w:ascii="Arial" w:hAnsi="Arial" w:cs="Arial"/>
                <w:sz w:val="24"/>
                <w:szCs w:val="24"/>
              </w:rPr>
            </w:pPr>
          </w:p>
        </w:tc>
        <w:tc>
          <w:tcPr>
            <w:tcW w:w="2760" w:type="dxa"/>
            <w:noWrap w:val="0"/>
            <w:vAlign w:val="top"/>
          </w:tcPr>
          <w:p w14:paraId="3AA30D0A">
            <w:pPr>
              <w:tabs>
                <w:tab w:val="left" w:pos="630"/>
              </w:tabs>
              <w:spacing w:line="360" w:lineRule="auto"/>
              <w:rPr>
                <w:rFonts w:ascii="Arial" w:hAnsi="Arial" w:cs="Arial"/>
                <w:sz w:val="24"/>
                <w:szCs w:val="24"/>
              </w:rPr>
            </w:pPr>
          </w:p>
        </w:tc>
      </w:tr>
      <w:tr w14:paraId="4EFD07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3DCF0490">
            <w:pPr>
              <w:tabs>
                <w:tab w:val="left" w:pos="630"/>
              </w:tabs>
              <w:spacing w:line="360" w:lineRule="auto"/>
              <w:rPr>
                <w:rFonts w:ascii="Arial" w:hAnsi="Arial" w:cs="Arial"/>
                <w:sz w:val="24"/>
                <w:szCs w:val="24"/>
              </w:rPr>
            </w:pPr>
          </w:p>
        </w:tc>
        <w:tc>
          <w:tcPr>
            <w:tcW w:w="1275" w:type="dxa"/>
            <w:noWrap w:val="0"/>
            <w:vAlign w:val="top"/>
          </w:tcPr>
          <w:p w14:paraId="3CF2C687">
            <w:pPr>
              <w:tabs>
                <w:tab w:val="left" w:pos="630"/>
              </w:tabs>
              <w:spacing w:line="360" w:lineRule="auto"/>
              <w:rPr>
                <w:rFonts w:ascii="Arial" w:hAnsi="Arial" w:cs="Arial"/>
                <w:sz w:val="24"/>
                <w:szCs w:val="24"/>
              </w:rPr>
            </w:pPr>
          </w:p>
        </w:tc>
        <w:tc>
          <w:tcPr>
            <w:tcW w:w="2532" w:type="dxa"/>
            <w:noWrap w:val="0"/>
            <w:vAlign w:val="top"/>
          </w:tcPr>
          <w:p w14:paraId="0276D417">
            <w:pPr>
              <w:tabs>
                <w:tab w:val="left" w:pos="630"/>
              </w:tabs>
              <w:spacing w:line="360" w:lineRule="auto"/>
              <w:rPr>
                <w:rFonts w:ascii="Arial" w:hAnsi="Arial" w:cs="Arial"/>
                <w:sz w:val="24"/>
                <w:szCs w:val="24"/>
              </w:rPr>
            </w:pPr>
          </w:p>
        </w:tc>
        <w:tc>
          <w:tcPr>
            <w:tcW w:w="1200" w:type="dxa"/>
            <w:noWrap w:val="0"/>
            <w:vAlign w:val="top"/>
          </w:tcPr>
          <w:p w14:paraId="7B6395E6">
            <w:pPr>
              <w:tabs>
                <w:tab w:val="left" w:pos="630"/>
              </w:tabs>
              <w:spacing w:line="360" w:lineRule="auto"/>
              <w:rPr>
                <w:rFonts w:ascii="Arial" w:hAnsi="Arial" w:cs="Arial"/>
                <w:sz w:val="24"/>
                <w:szCs w:val="24"/>
              </w:rPr>
            </w:pPr>
          </w:p>
        </w:tc>
        <w:tc>
          <w:tcPr>
            <w:tcW w:w="2760" w:type="dxa"/>
            <w:noWrap w:val="0"/>
            <w:vAlign w:val="top"/>
          </w:tcPr>
          <w:p w14:paraId="47173CB9">
            <w:pPr>
              <w:tabs>
                <w:tab w:val="left" w:pos="630"/>
              </w:tabs>
              <w:spacing w:line="360" w:lineRule="auto"/>
              <w:rPr>
                <w:rFonts w:ascii="Arial" w:hAnsi="Arial" w:cs="Arial"/>
                <w:sz w:val="24"/>
                <w:szCs w:val="24"/>
              </w:rPr>
            </w:pPr>
          </w:p>
        </w:tc>
      </w:tr>
      <w:tr w14:paraId="51E31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7A006ADA">
            <w:pPr>
              <w:tabs>
                <w:tab w:val="left" w:pos="630"/>
              </w:tabs>
              <w:spacing w:line="360" w:lineRule="auto"/>
              <w:rPr>
                <w:rFonts w:ascii="Arial" w:hAnsi="Arial" w:cs="Arial"/>
                <w:sz w:val="24"/>
                <w:szCs w:val="24"/>
              </w:rPr>
            </w:pPr>
          </w:p>
        </w:tc>
        <w:tc>
          <w:tcPr>
            <w:tcW w:w="1275" w:type="dxa"/>
            <w:noWrap w:val="0"/>
            <w:vAlign w:val="top"/>
          </w:tcPr>
          <w:p w14:paraId="16FA2AA4">
            <w:pPr>
              <w:tabs>
                <w:tab w:val="left" w:pos="630"/>
              </w:tabs>
              <w:spacing w:line="360" w:lineRule="auto"/>
              <w:rPr>
                <w:rFonts w:ascii="Arial" w:hAnsi="Arial" w:cs="Arial"/>
                <w:sz w:val="24"/>
                <w:szCs w:val="24"/>
              </w:rPr>
            </w:pPr>
          </w:p>
        </w:tc>
        <w:tc>
          <w:tcPr>
            <w:tcW w:w="2532" w:type="dxa"/>
            <w:noWrap w:val="0"/>
            <w:vAlign w:val="top"/>
          </w:tcPr>
          <w:p w14:paraId="3A7BB9D6">
            <w:pPr>
              <w:tabs>
                <w:tab w:val="left" w:pos="630"/>
              </w:tabs>
              <w:spacing w:line="360" w:lineRule="auto"/>
              <w:rPr>
                <w:rFonts w:ascii="Arial" w:hAnsi="Arial" w:cs="Arial"/>
                <w:sz w:val="24"/>
                <w:szCs w:val="24"/>
              </w:rPr>
            </w:pPr>
          </w:p>
        </w:tc>
        <w:tc>
          <w:tcPr>
            <w:tcW w:w="1200" w:type="dxa"/>
            <w:noWrap w:val="0"/>
            <w:vAlign w:val="top"/>
          </w:tcPr>
          <w:p w14:paraId="75A54130">
            <w:pPr>
              <w:tabs>
                <w:tab w:val="left" w:pos="630"/>
              </w:tabs>
              <w:spacing w:line="360" w:lineRule="auto"/>
              <w:rPr>
                <w:rFonts w:ascii="Arial" w:hAnsi="Arial" w:cs="Arial"/>
                <w:sz w:val="24"/>
                <w:szCs w:val="24"/>
              </w:rPr>
            </w:pPr>
          </w:p>
        </w:tc>
        <w:tc>
          <w:tcPr>
            <w:tcW w:w="2760" w:type="dxa"/>
            <w:noWrap w:val="0"/>
            <w:vAlign w:val="top"/>
          </w:tcPr>
          <w:p w14:paraId="232EB63C">
            <w:pPr>
              <w:tabs>
                <w:tab w:val="left" w:pos="630"/>
              </w:tabs>
              <w:spacing w:line="360" w:lineRule="auto"/>
              <w:rPr>
                <w:rFonts w:ascii="Arial" w:hAnsi="Arial" w:cs="Arial"/>
                <w:sz w:val="24"/>
                <w:szCs w:val="24"/>
              </w:rPr>
            </w:pPr>
          </w:p>
        </w:tc>
      </w:tr>
      <w:tr w14:paraId="1B6DE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5D95D04F">
            <w:pPr>
              <w:tabs>
                <w:tab w:val="left" w:pos="630"/>
              </w:tabs>
              <w:spacing w:line="360" w:lineRule="auto"/>
              <w:rPr>
                <w:rFonts w:ascii="Arial" w:hAnsi="Arial" w:cs="Arial"/>
                <w:sz w:val="24"/>
                <w:szCs w:val="24"/>
              </w:rPr>
            </w:pPr>
          </w:p>
        </w:tc>
        <w:tc>
          <w:tcPr>
            <w:tcW w:w="1275" w:type="dxa"/>
            <w:noWrap w:val="0"/>
            <w:vAlign w:val="top"/>
          </w:tcPr>
          <w:p w14:paraId="18C4F576">
            <w:pPr>
              <w:tabs>
                <w:tab w:val="left" w:pos="630"/>
              </w:tabs>
              <w:spacing w:line="360" w:lineRule="auto"/>
              <w:rPr>
                <w:rFonts w:ascii="Arial" w:hAnsi="Arial" w:cs="Arial"/>
                <w:sz w:val="24"/>
                <w:szCs w:val="24"/>
              </w:rPr>
            </w:pPr>
          </w:p>
        </w:tc>
        <w:tc>
          <w:tcPr>
            <w:tcW w:w="2532" w:type="dxa"/>
            <w:noWrap w:val="0"/>
            <w:vAlign w:val="top"/>
          </w:tcPr>
          <w:p w14:paraId="6C7ADAD2">
            <w:pPr>
              <w:tabs>
                <w:tab w:val="left" w:pos="630"/>
              </w:tabs>
              <w:spacing w:line="360" w:lineRule="auto"/>
              <w:rPr>
                <w:rFonts w:ascii="Arial" w:hAnsi="Arial" w:cs="Arial"/>
                <w:sz w:val="24"/>
                <w:szCs w:val="24"/>
              </w:rPr>
            </w:pPr>
          </w:p>
        </w:tc>
        <w:tc>
          <w:tcPr>
            <w:tcW w:w="1200" w:type="dxa"/>
            <w:noWrap w:val="0"/>
            <w:vAlign w:val="top"/>
          </w:tcPr>
          <w:p w14:paraId="36A56F54">
            <w:pPr>
              <w:tabs>
                <w:tab w:val="left" w:pos="630"/>
              </w:tabs>
              <w:spacing w:line="360" w:lineRule="auto"/>
              <w:rPr>
                <w:rFonts w:ascii="Arial" w:hAnsi="Arial" w:cs="Arial"/>
                <w:sz w:val="24"/>
                <w:szCs w:val="24"/>
              </w:rPr>
            </w:pPr>
          </w:p>
        </w:tc>
        <w:tc>
          <w:tcPr>
            <w:tcW w:w="2760" w:type="dxa"/>
            <w:noWrap w:val="0"/>
            <w:vAlign w:val="top"/>
          </w:tcPr>
          <w:p w14:paraId="5819C1D4">
            <w:pPr>
              <w:tabs>
                <w:tab w:val="left" w:pos="630"/>
              </w:tabs>
              <w:spacing w:line="360" w:lineRule="auto"/>
              <w:rPr>
                <w:rFonts w:ascii="Arial" w:hAnsi="Arial" w:cs="Arial"/>
                <w:sz w:val="24"/>
                <w:szCs w:val="24"/>
              </w:rPr>
            </w:pPr>
          </w:p>
        </w:tc>
      </w:tr>
      <w:tr w14:paraId="441830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57AF7349">
            <w:pPr>
              <w:tabs>
                <w:tab w:val="left" w:pos="630"/>
              </w:tabs>
              <w:spacing w:line="360" w:lineRule="auto"/>
              <w:rPr>
                <w:rFonts w:ascii="Arial" w:hAnsi="Arial" w:cs="Arial"/>
                <w:sz w:val="24"/>
                <w:szCs w:val="24"/>
              </w:rPr>
            </w:pPr>
          </w:p>
        </w:tc>
        <w:tc>
          <w:tcPr>
            <w:tcW w:w="1275" w:type="dxa"/>
            <w:noWrap w:val="0"/>
            <w:vAlign w:val="top"/>
          </w:tcPr>
          <w:p w14:paraId="1463A143">
            <w:pPr>
              <w:tabs>
                <w:tab w:val="left" w:pos="630"/>
              </w:tabs>
              <w:spacing w:line="360" w:lineRule="auto"/>
              <w:rPr>
                <w:rFonts w:ascii="Arial" w:hAnsi="Arial" w:cs="Arial"/>
                <w:sz w:val="24"/>
                <w:szCs w:val="24"/>
              </w:rPr>
            </w:pPr>
          </w:p>
        </w:tc>
        <w:tc>
          <w:tcPr>
            <w:tcW w:w="2532" w:type="dxa"/>
            <w:noWrap w:val="0"/>
            <w:vAlign w:val="top"/>
          </w:tcPr>
          <w:p w14:paraId="0BD6D3E6">
            <w:pPr>
              <w:tabs>
                <w:tab w:val="left" w:pos="630"/>
              </w:tabs>
              <w:spacing w:line="360" w:lineRule="auto"/>
              <w:rPr>
                <w:rFonts w:ascii="Arial" w:hAnsi="Arial" w:cs="Arial"/>
                <w:sz w:val="24"/>
                <w:szCs w:val="24"/>
              </w:rPr>
            </w:pPr>
          </w:p>
        </w:tc>
        <w:tc>
          <w:tcPr>
            <w:tcW w:w="1200" w:type="dxa"/>
            <w:noWrap w:val="0"/>
            <w:vAlign w:val="top"/>
          </w:tcPr>
          <w:p w14:paraId="7FB840B2">
            <w:pPr>
              <w:tabs>
                <w:tab w:val="left" w:pos="630"/>
              </w:tabs>
              <w:spacing w:line="360" w:lineRule="auto"/>
              <w:rPr>
                <w:rFonts w:ascii="Arial" w:hAnsi="Arial" w:cs="Arial"/>
                <w:sz w:val="24"/>
                <w:szCs w:val="24"/>
              </w:rPr>
            </w:pPr>
          </w:p>
        </w:tc>
        <w:tc>
          <w:tcPr>
            <w:tcW w:w="2760" w:type="dxa"/>
            <w:noWrap w:val="0"/>
            <w:vAlign w:val="top"/>
          </w:tcPr>
          <w:p w14:paraId="0278293D">
            <w:pPr>
              <w:tabs>
                <w:tab w:val="left" w:pos="630"/>
              </w:tabs>
              <w:spacing w:line="360" w:lineRule="auto"/>
              <w:rPr>
                <w:rFonts w:ascii="Arial" w:hAnsi="Arial" w:cs="Arial"/>
                <w:sz w:val="24"/>
                <w:szCs w:val="24"/>
              </w:rPr>
            </w:pPr>
          </w:p>
        </w:tc>
      </w:tr>
      <w:tr w14:paraId="652E01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69B99B31">
            <w:pPr>
              <w:tabs>
                <w:tab w:val="left" w:pos="630"/>
              </w:tabs>
              <w:spacing w:line="360" w:lineRule="auto"/>
              <w:rPr>
                <w:rFonts w:ascii="Arial" w:hAnsi="Arial" w:cs="Arial"/>
                <w:sz w:val="24"/>
                <w:szCs w:val="24"/>
              </w:rPr>
            </w:pPr>
          </w:p>
        </w:tc>
        <w:tc>
          <w:tcPr>
            <w:tcW w:w="1275" w:type="dxa"/>
            <w:noWrap w:val="0"/>
            <w:vAlign w:val="top"/>
          </w:tcPr>
          <w:p w14:paraId="2F60784A">
            <w:pPr>
              <w:tabs>
                <w:tab w:val="left" w:pos="630"/>
              </w:tabs>
              <w:spacing w:line="360" w:lineRule="auto"/>
              <w:rPr>
                <w:rFonts w:ascii="Arial" w:hAnsi="Arial" w:cs="Arial"/>
                <w:sz w:val="24"/>
                <w:szCs w:val="24"/>
              </w:rPr>
            </w:pPr>
          </w:p>
        </w:tc>
        <w:tc>
          <w:tcPr>
            <w:tcW w:w="2532" w:type="dxa"/>
            <w:noWrap w:val="0"/>
            <w:vAlign w:val="top"/>
          </w:tcPr>
          <w:p w14:paraId="0D6066EB">
            <w:pPr>
              <w:tabs>
                <w:tab w:val="left" w:pos="630"/>
              </w:tabs>
              <w:spacing w:line="360" w:lineRule="auto"/>
              <w:rPr>
                <w:rFonts w:ascii="Arial" w:hAnsi="Arial" w:cs="Arial"/>
                <w:sz w:val="24"/>
                <w:szCs w:val="24"/>
              </w:rPr>
            </w:pPr>
          </w:p>
        </w:tc>
        <w:tc>
          <w:tcPr>
            <w:tcW w:w="1200" w:type="dxa"/>
            <w:noWrap w:val="0"/>
            <w:vAlign w:val="top"/>
          </w:tcPr>
          <w:p w14:paraId="419E369D">
            <w:pPr>
              <w:tabs>
                <w:tab w:val="left" w:pos="630"/>
              </w:tabs>
              <w:spacing w:line="360" w:lineRule="auto"/>
              <w:rPr>
                <w:rFonts w:ascii="Arial" w:hAnsi="Arial" w:cs="Arial"/>
                <w:sz w:val="24"/>
                <w:szCs w:val="24"/>
              </w:rPr>
            </w:pPr>
          </w:p>
        </w:tc>
        <w:tc>
          <w:tcPr>
            <w:tcW w:w="2760" w:type="dxa"/>
            <w:noWrap w:val="0"/>
            <w:vAlign w:val="top"/>
          </w:tcPr>
          <w:p w14:paraId="55DB727B">
            <w:pPr>
              <w:tabs>
                <w:tab w:val="left" w:pos="630"/>
              </w:tabs>
              <w:spacing w:line="360" w:lineRule="auto"/>
              <w:rPr>
                <w:rFonts w:ascii="Arial" w:hAnsi="Arial" w:cs="Arial"/>
                <w:sz w:val="24"/>
                <w:szCs w:val="24"/>
              </w:rPr>
            </w:pPr>
          </w:p>
        </w:tc>
      </w:tr>
      <w:tr w14:paraId="0067A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32009E26">
            <w:pPr>
              <w:tabs>
                <w:tab w:val="left" w:pos="630"/>
              </w:tabs>
              <w:spacing w:line="360" w:lineRule="auto"/>
              <w:rPr>
                <w:rFonts w:ascii="Arial" w:hAnsi="Arial" w:cs="Arial"/>
                <w:sz w:val="24"/>
                <w:szCs w:val="24"/>
              </w:rPr>
            </w:pPr>
          </w:p>
        </w:tc>
        <w:tc>
          <w:tcPr>
            <w:tcW w:w="1275" w:type="dxa"/>
            <w:noWrap w:val="0"/>
            <w:vAlign w:val="top"/>
          </w:tcPr>
          <w:p w14:paraId="2B0EA981">
            <w:pPr>
              <w:tabs>
                <w:tab w:val="left" w:pos="630"/>
              </w:tabs>
              <w:spacing w:line="360" w:lineRule="auto"/>
              <w:rPr>
                <w:rFonts w:ascii="Arial" w:hAnsi="Arial" w:cs="Arial"/>
                <w:sz w:val="24"/>
                <w:szCs w:val="24"/>
              </w:rPr>
            </w:pPr>
          </w:p>
        </w:tc>
        <w:tc>
          <w:tcPr>
            <w:tcW w:w="2532" w:type="dxa"/>
            <w:noWrap w:val="0"/>
            <w:vAlign w:val="top"/>
          </w:tcPr>
          <w:p w14:paraId="462F045A">
            <w:pPr>
              <w:tabs>
                <w:tab w:val="left" w:pos="630"/>
              </w:tabs>
              <w:spacing w:line="360" w:lineRule="auto"/>
              <w:rPr>
                <w:rFonts w:ascii="Arial" w:hAnsi="Arial" w:cs="Arial"/>
                <w:sz w:val="24"/>
                <w:szCs w:val="24"/>
              </w:rPr>
            </w:pPr>
          </w:p>
        </w:tc>
        <w:tc>
          <w:tcPr>
            <w:tcW w:w="1200" w:type="dxa"/>
            <w:noWrap w:val="0"/>
            <w:vAlign w:val="top"/>
          </w:tcPr>
          <w:p w14:paraId="2ED76AD1">
            <w:pPr>
              <w:tabs>
                <w:tab w:val="left" w:pos="630"/>
              </w:tabs>
              <w:spacing w:line="360" w:lineRule="auto"/>
              <w:rPr>
                <w:rFonts w:ascii="Arial" w:hAnsi="Arial" w:cs="Arial"/>
                <w:sz w:val="24"/>
                <w:szCs w:val="24"/>
              </w:rPr>
            </w:pPr>
          </w:p>
        </w:tc>
        <w:tc>
          <w:tcPr>
            <w:tcW w:w="2760" w:type="dxa"/>
            <w:noWrap w:val="0"/>
            <w:vAlign w:val="top"/>
          </w:tcPr>
          <w:p w14:paraId="21EDF05D">
            <w:pPr>
              <w:tabs>
                <w:tab w:val="left" w:pos="630"/>
              </w:tabs>
              <w:spacing w:line="360" w:lineRule="auto"/>
              <w:rPr>
                <w:rFonts w:ascii="Arial" w:hAnsi="Arial" w:cs="Arial"/>
                <w:sz w:val="24"/>
                <w:szCs w:val="24"/>
              </w:rPr>
            </w:pPr>
          </w:p>
        </w:tc>
      </w:tr>
      <w:tr w14:paraId="4E3E44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32021B04">
            <w:pPr>
              <w:tabs>
                <w:tab w:val="left" w:pos="630"/>
              </w:tabs>
              <w:spacing w:line="360" w:lineRule="auto"/>
              <w:rPr>
                <w:rFonts w:ascii="Arial" w:hAnsi="Arial" w:cs="Arial"/>
                <w:sz w:val="24"/>
                <w:szCs w:val="24"/>
              </w:rPr>
            </w:pPr>
          </w:p>
        </w:tc>
        <w:tc>
          <w:tcPr>
            <w:tcW w:w="1275" w:type="dxa"/>
            <w:noWrap w:val="0"/>
            <w:vAlign w:val="top"/>
          </w:tcPr>
          <w:p w14:paraId="0D397314">
            <w:pPr>
              <w:tabs>
                <w:tab w:val="left" w:pos="630"/>
              </w:tabs>
              <w:spacing w:line="360" w:lineRule="auto"/>
              <w:rPr>
                <w:rFonts w:ascii="Arial" w:hAnsi="Arial" w:cs="Arial"/>
                <w:sz w:val="24"/>
                <w:szCs w:val="24"/>
              </w:rPr>
            </w:pPr>
          </w:p>
        </w:tc>
        <w:tc>
          <w:tcPr>
            <w:tcW w:w="2532" w:type="dxa"/>
            <w:noWrap w:val="0"/>
            <w:vAlign w:val="top"/>
          </w:tcPr>
          <w:p w14:paraId="46A0B48C">
            <w:pPr>
              <w:tabs>
                <w:tab w:val="left" w:pos="630"/>
              </w:tabs>
              <w:spacing w:line="360" w:lineRule="auto"/>
              <w:rPr>
                <w:rFonts w:ascii="Arial" w:hAnsi="Arial" w:cs="Arial"/>
                <w:sz w:val="24"/>
                <w:szCs w:val="24"/>
              </w:rPr>
            </w:pPr>
          </w:p>
        </w:tc>
        <w:tc>
          <w:tcPr>
            <w:tcW w:w="1200" w:type="dxa"/>
            <w:noWrap w:val="0"/>
            <w:vAlign w:val="top"/>
          </w:tcPr>
          <w:p w14:paraId="20ED0EF4">
            <w:pPr>
              <w:tabs>
                <w:tab w:val="left" w:pos="630"/>
              </w:tabs>
              <w:spacing w:line="360" w:lineRule="auto"/>
              <w:rPr>
                <w:rFonts w:ascii="Arial" w:hAnsi="Arial" w:cs="Arial"/>
                <w:sz w:val="24"/>
                <w:szCs w:val="24"/>
              </w:rPr>
            </w:pPr>
          </w:p>
        </w:tc>
        <w:tc>
          <w:tcPr>
            <w:tcW w:w="2760" w:type="dxa"/>
            <w:noWrap w:val="0"/>
            <w:vAlign w:val="top"/>
          </w:tcPr>
          <w:p w14:paraId="31533D06">
            <w:pPr>
              <w:tabs>
                <w:tab w:val="left" w:pos="630"/>
              </w:tabs>
              <w:spacing w:line="360" w:lineRule="auto"/>
              <w:rPr>
                <w:rFonts w:ascii="Arial" w:hAnsi="Arial" w:cs="Arial"/>
                <w:sz w:val="24"/>
                <w:szCs w:val="24"/>
              </w:rPr>
            </w:pPr>
          </w:p>
        </w:tc>
      </w:tr>
      <w:tr w14:paraId="798B61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32B57910">
            <w:pPr>
              <w:tabs>
                <w:tab w:val="left" w:pos="630"/>
              </w:tabs>
              <w:spacing w:line="360" w:lineRule="auto"/>
              <w:rPr>
                <w:rFonts w:ascii="Arial" w:hAnsi="Arial" w:cs="Arial"/>
                <w:sz w:val="24"/>
                <w:szCs w:val="24"/>
              </w:rPr>
            </w:pPr>
          </w:p>
        </w:tc>
        <w:tc>
          <w:tcPr>
            <w:tcW w:w="1275" w:type="dxa"/>
            <w:noWrap w:val="0"/>
            <w:vAlign w:val="top"/>
          </w:tcPr>
          <w:p w14:paraId="381E131C">
            <w:pPr>
              <w:tabs>
                <w:tab w:val="left" w:pos="630"/>
              </w:tabs>
              <w:spacing w:line="360" w:lineRule="auto"/>
              <w:rPr>
                <w:rFonts w:ascii="Arial" w:hAnsi="Arial" w:cs="Arial"/>
                <w:sz w:val="24"/>
                <w:szCs w:val="24"/>
              </w:rPr>
            </w:pPr>
          </w:p>
        </w:tc>
        <w:tc>
          <w:tcPr>
            <w:tcW w:w="2532" w:type="dxa"/>
            <w:noWrap w:val="0"/>
            <w:vAlign w:val="top"/>
          </w:tcPr>
          <w:p w14:paraId="7D4ADDB9">
            <w:pPr>
              <w:tabs>
                <w:tab w:val="left" w:pos="630"/>
              </w:tabs>
              <w:spacing w:line="360" w:lineRule="auto"/>
              <w:rPr>
                <w:rFonts w:ascii="Arial" w:hAnsi="Arial" w:cs="Arial"/>
                <w:sz w:val="24"/>
                <w:szCs w:val="24"/>
              </w:rPr>
            </w:pPr>
          </w:p>
        </w:tc>
        <w:tc>
          <w:tcPr>
            <w:tcW w:w="1200" w:type="dxa"/>
            <w:noWrap w:val="0"/>
            <w:vAlign w:val="top"/>
          </w:tcPr>
          <w:p w14:paraId="2F17035E">
            <w:pPr>
              <w:tabs>
                <w:tab w:val="left" w:pos="630"/>
              </w:tabs>
              <w:spacing w:line="360" w:lineRule="auto"/>
              <w:rPr>
                <w:rFonts w:ascii="Arial" w:hAnsi="Arial" w:cs="Arial"/>
                <w:sz w:val="24"/>
                <w:szCs w:val="24"/>
              </w:rPr>
            </w:pPr>
          </w:p>
        </w:tc>
        <w:tc>
          <w:tcPr>
            <w:tcW w:w="2760" w:type="dxa"/>
            <w:noWrap w:val="0"/>
            <w:vAlign w:val="top"/>
          </w:tcPr>
          <w:p w14:paraId="11B00A4D">
            <w:pPr>
              <w:tabs>
                <w:tab w:val="left" w:pos="630"/>
              </w:tabs>
              <w:spacing w:line="360" w:lineRule="auto"/>
              <w:rPr>
                <w:rFonts w:ascii="Arial" w:hAnsi="Arial" w:cs="Arial"/>
                <w:sz w:val="24"/>
                <w:szCs w:val="24"/>
              </w:rPr>
            </w:pPr>
          </w:p>
        </w:tc>
      </w:tr>
      <w:tr w14:paraId="0BC58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24FFCE3C">
            <w:pPr>
              <w:tabs>
                <w:tab w:val="left" w:pos="630"/>
              </w:tabs>
              <w:spacing w:line="360" w:lineRule="auto"/>
              <w:rPr>
                <w:rFonts w:ascii="Arial" w:hAnsi="Arial" w:cs="Arial"/>
                <w:sz w:val="24"/>
                <w:szCs w:val="24"/>
              </w:rPr>
            </w:pPr>
          </w:p>
        </w:tc>
        <w:tc>
          <w:tcPr>
            <w:tcW w:w="1275" w:type="dxa"/>
            <w:noWrap w:val="0"/>
            <w:vAlign w:val="top"/>
          </w:tcPr>
          <w:p w14:paraId="6AD56175">
            <w:pPr>
              <w:tabs>
                <w:tab w:val="left" w:pos="630"/>
              </w:tabs>
              <w:spacing w:line="360" w:lineRule="auto"/>
              <w:rPr>
                <w:rFonts w:ascii="Arial" w:hAnsi="Arial" w:cs="Arial"/>
                <w:sz w:val="24"/>
                <w:szCs w:val="24"/>
              </w:rPr>
            </w:pPr>
          </w:p>
        </w:tc>
        <w:tc>
          <w:tcPr>
            <w:tcW w:w="2532" w:type="dxa"/>
            <w:noWrap w:val="0"/>
            <w:vAlign w:val="top"/>
          </w:tcPr>
          <w:p w14:paraId="346905A1">
            <w:pPr>
              <w:tabs>
                <w:tab w:val="left" w:pos="630"/>
              </w:tabs>
              <w:spacing w:line="360" w:lineRule="auto"/>
              <w:rPr>
                <w:rFonts w:ascii="Arial" w:hAnsi="Arial" w:cs="Arial"/>
                <w:sz w:val="24"/>
                <w:szCs w:val="24"/>
              </w:rPr>
            </w:pPr>
          </w:p>
        </w:tc>
        <w:tc>
          <w:tcPr>
            <w:tcW w:w="1200" w:type="dxa"/>
            <w:noWrap w:val="0"/>
            <w:vAlign w:val="top"/>
          </w:tcPr>
          <w:p w14:paraId="7D7E5BC2">
            <w:pPr>
              <w:tabs>
                <w:tab w:val="left" w:pos="630"/>
              </w:tabs>
              <w:spacing w:line="360" w:lineRule="auto"/>
              <w:rPr>
                <w:rFonts w:ascii="Arial" w:hAnsi="Arial" w:cs="Arial"/>
                <w:sz w:val="24"/>
                <w:szCs w:val="24"/>
              </w:rPr>
            </w:pPr>
          </w:p>
        </w:tc>
        <w:tc>
          <w:tcPr>
            <w:tcW w:w="2760" w:type="dxa"/>
            <w:noWrap w:val="0"/>
            <w:vAlign w:val="top"/>
          </w:tcPr>
          <w:p w14:paraId="44A4EB7E">
            <w:pPr>
              <w:tabs>
                <w:tab w:val="left" w:pos="630"/>
              </w:tabs>
              <w:spacing w:line="360" w:lineRule="auto"/>
              <w:rPr>
                <w:rFonts w:ascii="Arial" w:hAnsi="Arial" w:cs="Arial"/>
                <w:sz w:val="24"/>
                <w:szCs w:val="24"/>
              </w:rPr>
            </w:pPr>
          </w:p>
        </w:tc>
      </w:tr>
      <w:tr w14:paraId="32BA3F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1A4E585F">
            <w:pPr>
              <w:tabs>
                <w:tab w:val="left" w:pos="630"/>
              </w:tabs>
              <w:spacing w:line="360" w:lineRule="auto"/>
              <w:rPr>
                <w:rFonts w:ascii="Arial" w:hAnsi="Arial" w:cs="Arial"/>
                <w:sz w:val="24"/>
                <w:szCs w:val="24"/>
              </w:rPr>
            </w:pPr>
          </w:p>
        </w:tc>
        <w:tc>
          <w:tcPr>
            <w:tcW w:w="1275" w:type="dxa"/>
            <w:noWrap w:val="0"/>
            <w:vAlign w:val="top"/>
          </w:tcPr>
          <w:p w14:paraId="18AC23B5">
            <w:pPr>
              <w:tabs>
                <w:tab w:val="left" w:pos="630"/>
              </w:tabs>
              <w:spacing w:line="360" w:lineRule="auto"/>
              <w:rPr>
                <w:rFonts w:ascii="Arial" w:hAnsi="Arial" w:cs="Arial"/>
                <w:sz w:val="24"/>
                <w:szCs w:val="24"/>
              </w:rPr>
            </w:pPr>
          </w:p>
        </w:tc>
        <w:tc>
          <w:tcPr>
            <w:tcW w:w="2532" w:type="dxa"/>
            <w:noWrap w:val="0"/>
            <w:vAlign w:val="top"/>
          </w:tcPr>
          <w:p w14:paraId="4A557228">
            <w:pPr>
              <w:tabs>
                <w:tab w:val="left" w:pos="630"/>
              </w:tabs>
              <w:spacing w:line="360" w:lineRule="auto"/>
              <w:rPr>
                <w:rFonts w:ascii="Arial" w:hAnsi="Arial" w:cs="Arial"/>
                <w:sz w:val="24"/>
                <w:szCs w:val="24"/>
              </w:rPr>
            </w:pPr>
          </w:p>
        </w:tc>
        <w:tc>
          <w:tcPr>
            <w:tcW w:w="1200" w:type="dxa"/>
            <w:noWrap w:val="0"/>
            <w:vAlign w:val="top"/>
          </w:tcPr>
          <w:p w14:paraId="6EE3B35F">
            <w:pPr>
              <w:tabs>
                <w:tab w:val="left" w:pos="630"/>
              </w:tabs>
              <w:spacing w:line="360" w:lineRule="auto"/>
              <w:rPr>
                <w:rFonts w:ascii="Arial" w:hAnsi="Arial" w:cs="Arial"/>
                <w:sz w:val="24"/>
                <w:szCs w:val="24"/>
              </w:rPr>
            </w:pPr>
          </w:p>
        </w:tc>
        <w:tc>
          <w:tcPr>
            <w:tcW w:w="2760" w:type="dxa"/>
            <w:noWrap w:val="0"/>
            <w:vAlign w:val="top"/>
          </w:tcPr>
          <w:p w14:paraId="500D38C4">
            <w:pPr>
              <w:tabs>
                <w:tab w:val="left" w:pos="630"/>
              </w:tabs>
              <w:spacing w:line="360" w:lineRule="auto"/>
              <w:rPr>
                <w:rFonts w:ascii="Arial" w:hAnsi="Arial" w:cs="Arial"/>
                <w:sz w:val="24"/>
                <w:szCs w:val="24"/>
              </w:rPr>
            </w:pPr>
          </w:p>
        </w:tc>
      </w:tr>
      <w:tr w14:paraId="387F34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38336266">
            <w:pPr>
              <w:tabs>
                <w:tab w:val="left" w:pos="630"/>
              </w:tabs>
              <w:spacing w:line="360" w:lineRule="auto"/>
              <w:rPr>
                <w:rFonts w:ascii="Arial" w:hAnsi="Arial" w:cs="Arial"/>
                <w:sz w:val="24"/>
                <w:szCs w:val="24"/>
              </w:rPr>
            </w:pPr>
          </w:p>
        </w:tc>
        <w:tc>
          <w:tcPr>
            <w:tcW w:w="1275" w:type="dxa"/>
            <w:noWrap w:val="0"/>
            <w:vAlign w:val="top"/>
          </w:tcPr>
          <w:p w14:paraId="11ED65FC">
            <w:pPr>
              <w:tabs>
                <w:tab w:val="left" w:pos="630"/>
              </w:tabs>
              <w:spacing w:line="360" w:lineRule="auto"/>
              <w:rPr>
                <w:rFonts w:ascii="Arial" w:hAnsi="Arial" w:cs="Arial"/>
                <w:sz w:val="24"/>
                <w:szCs w:val="24"/>
              </w:rPr>
            </w:pPr>
          </w:p>
        </w:tc>
        <w:tc>
          <w:tcPr>
            <w:tcW w:w="2532" w:type="dxa"/>
            <w:noWrap w:val="0"/>
            <w:vAlign w:val="top"/>
          </w:tcPr>
          <w:p w14:paraId="72E4B5DF">
            <w:pPr>
              <w:tabs>
                <w:tab w:val="left" w:pos="630"/>
              </w:tabs>
              <w:spacing w:line="360" w:lineRule="auto"/>
              <w:rPr>
                <w:rFonts w:ascii="Arial" w:hAnsi="Arial" w:cs="Arial"/>
                <w:sz w:val="24"/>
                <w:szCs w:val="24"/>
              </w:rPr>
            </w:pPr>
          </w:p>
        </w:tc>
        <w:tc>
          <w:tcPr>
            <w:tcW w:w="1200" w:type="dxa"/>
            <w:noWrap w:val="0"/>
            <w:vAlign w:val="top"/>
          </w:tcPr>
          <w:p w14:paraId="2010AFB1">
            <w:pPr>
              <w:tabs>
                <w:tab w:val="left" w:pos="630"/>
              </w:tabs>
              <w:spacing w:line="360" w:lineRule="auto"/>
              <w:rPr>
                <w:rFonts w:ascii="Arial" w:hAnsi="Arial" w:cs="Arial"/>
                <w:sz w:val="24"/>
                <w:szCs w:val="24"/>
              </w:rPr>
            </w:pPr>
          </w:p>
        </w:tc>
        <w:tc>
          <w:tcPr>
            <w:tcW w:w="2760" w:type="dxa"/>
            <w:noWrap w:val="0"/>
            <w:vAlign w:val="top"/>
          </w:tcPr>
          <w:p w14:paraId="5A98B57E">
            <w:pPr>
              <w:tabs>
                <w:tab w:val="left" w:pos="630"/>
              </w:tabs>
              <w:spacing w:line="360" w:lineRule="auto"/>
              <w:rPr>
                <w:rFonts w:ascii="Arial" w:hAnsi="Arial" w:cs="Arial"/>
                <w:sz w:val="24"/>
                <w:szCs w:val="24"/>
              </w:rPr>
            </w:pPr>
          </w:p>
        </w:tc>
      </w:tr>
      <w:tr w14:paraId="551D7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67AC5F84">
            <w:pPr>
              <w:tabs>
                <w:tab w:val="left" w:pos="630"/>
              </w:tabs>
              <w:spacing w:line="360" w:lineRule="auto"/>
              <w:rPr>
                <w:rFonts w:ascii="Arial" w:hAnsi="Arial" w:cs="Arial"/>
                <w:sz w:val="24"/>
                <w:szCs w:val="24"/>
              </w:rPr>
            </w:pPr>
          </w:p>
        </w:tc>
        <w:tc>
          <w:tcPr>
            <w:tcW w:w="1275" w:type="dxa"/>
            <w:noWrap w:val="0"/>
            <w:vAlign w:val="top"/>
          </w:tcPr>
          <w:p w14:paraId="2787473F">
            <w:pPr>
              <w:tabs>
                <w:tab w:val="left" w:pos="630"/>
              </w:tabs>
              <w:spacing w:line="360" w:lineRule="auto"/>
              <w:rPr>
                <w:rFonts w:ascii="Arial" w:hAnsi="Arial" w:cs="Arial"/>
                <w:sz w:val="24"/>
                <w:szCs w:val="24"/>
              </w:rPr>
            </w:pPr>
          </w:p>
        </w:tc>
        <w:tc>
          <w:tcPr>
            <w:tcW w:w="2532" w:type="dxa"/>
            <w:noWrap w:val="0"/>
            <w:vAlign w:val="top"/>
          </w:tcPr>
          <w:p w14:paraId="1C0A8C22">
            <w:pPr>
              <w:tabs>
                <w:tab w:val="left" w:pos="630"/>
              </w:tabs>
              <w:spacing w:line="360" w:lineRule="auto"/>
              <w:rPr>
                <w:rFonts w:ascii="Arial" w:hAnsi="Arial" w:cs="Arial"/>
                <w:sz w:val="24"/>
                <w:szCs w:val="24"/>
              </w:rPr>
            </w:pPr>
          </w:p>
        </w:tc>
        <w:tc>
          <w:tcPr>
            <w:tcW w:w="1200" w:type="dxa"/>
            <w:noWrap w:val="0"/>
            <w:vAlign w:val="top"/>
          </w:tcPr>
          <w:p w14:paraId="10CBEDEF">
            <w:pPr>
              <w:tabs>
                <w:tab w:val="left" w:pos="630"/>
              </w:tabs>
              <w:spacing w:line="360" w:lineRule="auto"/>
              <w:rPr>
                <w:rFonts w:ascii="Arial" w:hAnsi="Arial" w:cs="Arial"/>
                <w:sz w:val="24"/>
                <w:szCs w:val="24"/>
              </w:rPr>
            </w:pPr>
          </w:p>
        </w:tc>
        <w:tc>
          <w:tcPr>
            <w:tcW w:w="2760" w:type="dxa"/>
            <w:noWrap w:val="0"/>
            <w:vAlign w:val="top"/>
          </w:tcPr>
          <w:p w14:paraId="1A87AA26">
            <w:pPr>
              <w:tabs>
                <w:tab w:val="left" w:pos="630"/>
              </w:tabs>
              <w:spacing w:line="360" w:lineRule="auto"/>
              <w:rPr>
                <w:rFonts w:ascii="Arial" w:hAnsi="Arial" w:cs="Arial"/>
                <w:sz w:val="24"/>
                <w:szCs w:val="24"/>
              </w:rPr>
            </w:pPr>
          </w:p>
        </w:tc>
      </w:tr>
      <w:tr w14:paraId="073C32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93" w:type="dxa"/>
            <w:noWrap w:val="0"/>
            <w:vAlign w:val="top"/>
          </w:tcPr>
          <w:p w14:paraId="7DA9E90B">
            <w:pPr>
              <w:tabs>
                <w:tab w:val="left" w:pos="630"/>
              </w:tabs>
              <w:spacing w:line="360" w:lineRule="auto"/>
              <w:rPr>
                <w:rFonts w:ascii="Arial" w:hAnsi="Arial" w:cs="Arial"/>
                <w:sz w:val="24"/>
                <w:szCs w:val="24"/>
              </w:rPr>
            </w:pPr>
          </w:p>
        </w:tc>
        <w:tc>
          <w:tcPr>
            <w:tcW w:w="1275" w:type="dxa"/>
            <w:noWrap w:val="0"/>
            <w:vAlign w:val="top"/>
          </w:tcPr>
          <w:p w14:paraId="26582243">
            <w:pPr>
              <w:tabs>
                <w:tab w:val="left" w:pos="630"/>
              </w:tabs>
              <w:spacing w:line="360" w:lineRule="auto"/>
              <w:rPr>
                <w:rFonts w:ascii="Arial" w:hAnsi="Arial" w:cs="Arial"/>
                <w:sz w:val="24"/>
                <w:szCs w:val="24"/>
              </w:rPr>
            </w:pPr>
          </w:p>
        </w:tc>
        <w:tc>
          <w:tcPr>
            <w:tcW w:w="2532" w:type="dxa"/>
            <w:noWrap w:val="0"/>
            <w:vAlign w:val="top"/>
          </w:tcPr>
          <w:p w14:paraId="6826B045">
            <w:pPr>
              <w:tabs>
                <w:tab w:val="left" w:pos="630"/>
              </w:tabs>
              <w:spacing w:line="360" w:lineRule="auto"/>
              <w:rPr>
                <w:rFonts w:ascii="Arial" w:hAnsi="Arial" w:cs="Arial"/>
                <w:sz w:val="24"/>
                <w:szCs w:val="24"/>
              </w:rPr>
            </w:pPr>
          </w:p>
        </w:tc>
        <w:tc>
          <w:tcPr>
            <w:tcW w:w="1200" w:type="dxa"/>
            <w:noWrap w:val="0"/>
            <w:vAlign w:val="top"/>
          </w:tcPr>
          <w:p w14:paraId="2CF24C31">
            <w:pPr>
              <w:tabs>
                <w:tab w:val="left" w:pos="630"/>
              </w:tabs>
              <w:spacing w:line="360" w:lineRule="auto"/>
              <w:rPr>
                <w:rFonts w:ascii="Arial" w:hAnsi="Arial" w:cs="Arial"/>
                <w:sz w:val="24"/>
                <w:szCs w:val="24"/>
              </w:rPr>
            </w:pPr>
          </w:p>
        </w:tc>
        <w:tc>
          <w:tcPr>
            <w:tcW w:w="2760" w:type="dxa"/>
            <w:noWrap w:val="0"/>
            <w:vAlign w:val="top"/>
          </w:tcPr>
          <w:p w14:paraId="6A7D887C">
            <w:pPr>
              <w:tabs>
                <w:tab w:val="left" w:pos="630"/>
              </w:tabs>
              <w:spacing w:line="360" w:lineRule="auto"/>
              <w:rPr>
                <w:rFonts w:ascii="Arial" w:hAnsi="Arial" w:cs="Arial"/>
                <w:sz w:val="24"/>
                <w:szCs w:val="24"/>
              </w:rPr>
            </w:pPr>
          </w:p>
        </w:tc>
      </w:tr>
      <w:bookmarkEnd w:id="104"/>
      <w:bookmarkEnd w:id="105"/>
    </w:tbl>
    <w:p w14:paraId="5751BBF7">
      <w:pPr>
        <w:rPr>
          <w:rFonts w:hint="eastAsia" w:hAnsi="宋体" w:cs="宋体"/>
          <w:sz w:val="30"/>
          <w:szCs w:val="30"/>
        </w:rPr>
      </w:pPr>
      <w:bookmarkStart w:id="106" w:name="_Toc98357968"/>
      <w:bookmarkStart w:id="107" w:name="_Toc346199012"/>
      <w:r>
        <w:rPr>
          <w:rFonts w:hint="eastAsia" w:hAnsi="宋体" w:cs="宋体"/>
          <w:sz w:val="30"/>
          <w:szCs w:val="30"/>
        </w:rPr>
        <w:br w:type="page"/>
      </w:r>
    </w:p>
    <w:p w14:paraId="2106238F">
      <w:pPr>
        <w:pStyle w:val="3"/>
        <w:numPr>
          <w:ilvl w:val="-1"/>
          <w:numId w:val="0"/>
        </w:numPr>
        <w:rPr>
          <w:rFonts w:hint="eastAsia" w:hAnsi="宋体" w:cs="宋体"/>
          <w:sz w:val="30"/>
          <w:szCs w:val="30"/>
        </w:rPr>
      </w:pPr>
      <w:bookmarkStart w:id="108" w:name="_Toc10375"/>
      <w:r>
        <w:rPr>
          <w:rFonts w:hint="eastAsia" w:hAnsi="宋体" w:cs="宋体"/>
          <w:sz w:val="30"/>
          <w:szCs w:val="30"/>
        </w:rPr>
        <w:t>附件1</w:t>
      </w:r>
      <w:r>
        <w:rPr>
          <w:rFonts w:hint="eastAsia" w:hAnsi="宋体" w:cs="宋体"/>
          <w:sz w:val="30"/>
          <w:szCs w:val="30"/>
          <w:lang w:val="en-US" w:eastAsia="zh-CN"/>
        </w:rPr>
        <w:t>1</w:t>
      </w:r>
      <w:r>
        <w:rPr>
          <w:rFonts w:hint="eastAsia" w:hAnsi="宋体" w:cs="宋体"/>
          <w:sz w:val="30"/>
          <w:szCs w:val="30"/>
        </w:rPr>
        <w:t xml:space="preserve"> 附图</w:t>
      </w:r>
      <w:bookmarkEnd w:id="106"/>
      <w:bookmarkEnd w:id="108"/>
    </w:p>
    <w:p w14:paraId="03183B8F">
      <w:pPr>
        <w:rPr>
          <w:rFonts w:hint="eastAsia" w:ascii="宋体" w:hAnsi="宋体" w:cs="宋体"/>
        </w:rPr>
      </w:pPr>
    </w:p>
    <w:p w14:paraId="7A51B2F9">
      <w:pPr>
        <w:keepNext/>
        <w:keepLines/>
        <w:ind w:right="-34"/>
        <w:jc w:val="left"/>
        <w:outlineLvl w:val="9"/>
        <w:rPr>
          <w:rFonts w:hint="eastAsia"/>
          <w:b/>
          <w:bCs/>
          <w:sz w:val="24"/>
          <w:szCs w:val="24"/>
        </w:rPr>
      </w:pPr>
      <w:r>
        <w:rPr>
          <w:rFonts w:hint="eastAsia"/>
          <w:b/>
          <w:bCs/>
          <w:sz w:val="24"/>
          <w:szCs w:val="24"/>
        </w:rPr>
        <w:t>集控室布置图</w:t>
      </w:r>
    </w:p>
    <w:p w14:paraId="3713A9D2">
      <w:pPr>
        <w:rPr>
          <w:rFonts w:hint="eastAsia" w:ascii="宋体" w:hAnsi="宋体" w:cs="宋体"/>
        </w:rPr>
      </w:pPr>
      <w:r>
        <w:drawing>
          <wp:anchor distT="0" distB="0" distL="114300" distR="114300" simplePos="0" relativeHeight="251659264" behindDoc="1" locked="0" layoutInCell="1" allowOverlap="1">
            <wp:simplePos x="0" y="0"/>
            <wp:positionH relativeFrom="column">
              <wp:posOffset>-13970</wp:posOffset>
            </wp:positionH>
            <wp:positionV relativeFrom="paragraph">
              <wp:posOffset>274320</wp:posOffset>
            </wp:positionV>
            <wp:extent cx="5674995" cy="3695065"/>
            <wp:effectExtent l="0" t="0" r="1905" b="635"/>
            <wp:wrapTight wrapText="bothSides">
              <wp:wrapPolygon>
                <wp:start x="0" y="0"/>
                <wp:lineTo x="0" y="21492"/>
                <wp:lineTo x="21535" y="21492"/>
                <wp:lineTo x="21535" y="0"/>
                <wp:lineTo x="0" y="0"/>
              </wp:wrapPolygon>
            </wp:wrapTight>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674995" cy="3695065"/>
                    </a:xfrm>
                    <a:prstGeom prst="rect">
                      <a:avLst/>
                    </a:prstGeom>
                    <a:noFill/>
                    <a:ln>
                      <a:noFill/>
                    </a:ln>
                  </pic:spPr>
                </pic:pic>
              </a:graphicData>
            </a:graphic>
          </wp:anchor>
        </w:drawing>
      </w:r>
      <w:r>
        <w:br w:type="page"/>
      </w:r>
    </w:p>
    <w:p w14:paraId="0F1524B7">
      <w:pPr>
        <w:rPr>
          <w:rFonts w:hint="eastAsia" w:ascii="宋体" w:hAnsi="宋体" w:cs="宋体"/>
        </w:rPr>
      </w:pPr>
    </w:p>
    <w:bookmarkEnd w:id="107"/>
    <w:p w14:paraId="07927166">
      <w:pPr>
        <w:pStyle w:val="3"/>
        <w:numPr>
          <w:ilvl w:val="-1"/>
          <w:numId w:val="0"/>
        </w:numPr>
        <w:rPr>
          <w:rFonts w:hint="eastAsia" w:hAnsi="宋体" w:cs="宋体"/>
          <w:sz w:val="30"/>
          <w:szCs w:val="30"/>
        </w:rPr>
      </w:pPr>
      <w:bookmarkStart w:id="109" w:name="_Toc286159480"/>
      <w:bookmarkStart w:id="110" w:name="_Toc346199017"/>
      <w:bookmarkStart w:id="111" w:name="_Toc20086"/>
      <w:bookmarkStart w:id="112" w:name="_Toc98357969"/>
      <w:r>
        <w:rPr>
          <w:rFonts w:hint="eastAsia" w:hAnsi="宋体" w:cs="宋体"/>
          <w:sz w:val="30"/>
          <w:szCs w:val="30"/>
        </w:rPr>
        <w:t>附件1</w:t>
      </w:r>
      <w:r>
        <w:rPr>
          <w:rFonts w:hint="eastAsia" w:hAnsi="宋体" w:cs="宋体"/>
          <w:sz w:val="30"/>
          <w:szCs w:val="30"/>
          <w:lang w:val="en-US" w:eastAsia="zh-CN"/>
        </w:rPr>
        <w:t>2</w:t>
      </w:r>
      <w:r>
        <w:rPr>
          <w:rFonts w:hint="eastAsia" w:hAnsi="宋体" w:cs="宋体"/>
          <w:sz w:val="30"/>
          <w:szCs w:val="30"/>
        </w:rPr>
        <w:t xml:space="preserve"> 性能考核</w:t>
      </w:r>
      <w:bookmarkEnd w:id="109"/>
      <w:r>
        <w:rPr>
          <w:rFonts w:hint="eastAsia" w:hAnsi="宋体" w:cs="宋体"/>
          <w:sz w:val="30"/>
          <w:szCs w:val="30"/>
        </w:rPr>
        <w:t>条款</w:t>
      </w:r>
      <w:bookmarkEnd w:id="110"/>
      <w:bookmarkEnd w:id="111"/>
      <w:bookmarkEnd w:id="112"/>
    </w:p>
    <w:p w14:paraId="1AF18347">
      <w:pPr>
        <w:tabs>
          <w:tab w:val="left" w:pos="240"/>
          <w:tab w:val="left" w:pos="600"/>
          <w:tab w:val="left" w:pos="840"/>
        </w:tabs>
        <w:spacing w:line="500" w:lineRule="exact"/>
        <w:rPr>
          <w:rFonts w:hint="eastAsia" w:ascii="宋体" w:hAnsi="宋体" w:cs="宋体"/>
        </w:rPr>
      </w:pPr>
      <w:r>
        <w:rPr>
          <w:rFonts w:hint="eastAsia" w:ascii="宋体" w:hAnsi="宋体" w:cs="宋体"/>
        </w:rPr>
        <w:t>1、由于</w:t>
      </w:r>
      <w:r>
        <w:rPr>
          <w:rFonts w:hint="eastAsia" w:ascii="宋体" w:hAnsi="宋体" w:cs="宋体"/>
          <w:lang w:eastAsia="zh-CN"/>
        </w:rPr>
        <w:t>投标人</w:t>
      </w:r>
      <w:r>
        <w:rPr>
          <w:rFonts w:hint="eastAsia" w:ascii="宋体" w:hAnsi="宋体" w:cs="宋体"/>
        </w:rPr>
        <w:t>原因，影响安装与调试整体项目进度，每推迟一天投入运行扣除合同金额的0.1%；</w:t>
      </w:r>
    </w:p>
    <w:p w14:paraId="330EBD22">
      <w:pPr>
        <w:tabs>
          <w:tab w:val="left" w:pos="240"/>
          <w:tab w:val="left" w:pos="600"/>
          <w:tab w:val="left" w:pos="840"/>
        </w:tabs>
        <w:spacing w:line="500" w:lineRule="exact"/>
        <w:rPr>
          <w:rFonts w:hint="eastAsia" w:ascii="宋体" w:hAnsi="宋体" w:cs="宋体"/>
        </w:rPr>
      </w:pPr>
      <w:r>
        <w:rPr>
          <w:rFonts w:hint="eastAsia" w:ascii="宋体" w:hAnsi="宋体" w:cs="宋体"/>
        </w:rPr>
        <w:t>2、设备安装调试期间由于设备质量问题，导致设备损坏或不能正常运行，</w:t>
      </w:r>
      <w:r>
        <w:rPr>
          <w:rFonts w:hint="eastAsia" w:ascii="宋体" w:hAnsi="宋体" w:cs="宋体"/>
          <w:lang w:eastAsia="zh-CN"/>
        </w:rPr>
        <w:t>投标人</w:t>
      </w:r>
      <w:r>
        <w:rPr>
          <w:rFonts w:hint="eastAsia" w:ascii="宋体" w:hAnsi="宋体" w:cs="宋体"/>
        </w:rPr>
        <w:t>必须3日内更换设备并维修，若达不到合同技术协议规定的要求每推迟一天考核1000元。</w:t>
      </w:r>
    </w:p>
    <w:p w14:paraId="7480CD99">
      <w:pPr>
        <w:tabs>
          <w:tab w:val="left" w:pos="240"/>
          <w:tab w:val="left" w:pos="600"/>
          <w:tab w:val="left" w:pos="840"/>
        </w:tabs>
        <w:spacing w:line="500" w:lineRule="exact"/>
        <w:rPr>
          <w:rFonts w:hint="eastAsia" w:ascii="宋体" w:hAnsi="宋体" w:cs="宋体"/>
        </w:rPr>
      </w:pPr>
      <w:r>
        <w:rPr>
          <w:rFonts w:hint="eastAsia" w:ascii="宋体" w:hAnsi="宋体" w:cs="宋体"/>
        </w:rPr>
        <w:t>3、当试用期间局部发生故障，且从发现之日起</w:t>
      </w:r>
      <w:r>
        <w:rPr>
          <w:rFonts w:hint="eastAsia" w:ascii="宋体" w:hAnsi="宋体" w:cs="宋体"/>
          <w:lang w:eastAsia="zh-CN"/>
        </w:rPr>
        <w:t>投标人</w:t>
      </w:r>
      <w:r>
        <w:rPr>
          <w:rFonts w:hint="eastAsia" w:ascii="宋体" w:hAnsi="宋体" w:cs="宋体"/>
        </w:rPr>
        <w:t>超过5日仍未能将其消除故障，以致影响调试工期，</w:t>
      </w:r>
      <w:r>
        <w:rPr>
          <w:rFonts w:hint="eastAsia" w:ascii="宋体" w:hAnsi="宋体" w:cs="宋体"/>
          <w:lang w:eastAsia="zh-CN"/>
        </w:rPr>
        <w:t>投标人</w:t>
      </w:r>
      <w:r>
        <w:rPr>
          <w:rFonts w:hint="eastAsia" w:ascii="宋体" w:hAnsi="宋体" w:cs="宋体"/>
        </w:rPr>
        <w:t>除必须继续工作直至故障消除外，并考核1000-2000元/次。</w:t>
      </w:r>
    </w:p>
    <w:p w14:paraId="0575779A">
      <w:pPr>
        <w:tabs>
          <w:tab w:val="left" w:pos="240"/>
          <w:tab w:val="left" w:pos="600"/>
          <w:tab w:val="left" w:pos="840"/>
        </w:tabs>
        <w:spacing w:line="500" w:lineRule="exact"/>
        <w:rPr>
          <w:rFonts w:ascii="宋体" w:hAnsi="宋体" w:cs="宋体"/>
        </w:rPr>
      </w:pPr>
      <w:r>
        <w:rPr>
          <w:rFonts w:hint="eastAsia" w:ascii="宋体" w:hAnsi="宋体" w:cs="宋体"/>
        </w:rPr>
        <w:t>4、系统安装调试完成后，设备和系统的性能及技术指标达不到</w:t>
      </w:r>
      <w:r>
        <w:rPr>
          <w:rFonts w:hint="eastAsia" w:ascii="宋体" w:hAnsi="宋体" w:cs="宋体"/>
          <w:lang w:eastAsia="zh-CN"/>
        </w:rPr>
        <w:t>技术协议</w:t>
      </w:r>
      <w:r>
        <w:rPr>
          <w:rFonts w:hint="eastAsia" w:ascii="宋体" w:hAnsi="宋体" w:cs="宋体"/>
        </w:rPr>
        <w:t>要求的，</w:t>
      </w:r>
      <w:r>
        <w:rPr>
          <w:rFonts w:hint="eastAsia" w:ascii="宋体" w:hAnsi="宋体" w:cs="宋体"/>
          <w:lang w:eastAsia="zh-CN"/>
        </w:rPr>
        <w:t>投标人</w:t>
      </w:r>
      <w:r>
        <w:rPr>
          <w:rFonts w:hint="eastAsia" w:ascii="宋体" w:hAnsi="宋体"/>
          <w:color w:val="000000"/>
        </w:rPr>
        <w:t>必须在三天内</w:t>
      </w:r>
      <w:r>
        <w:rPr>
          <w:rFonts w:hint="eastAsia" w:ascii="宋体" w:hAnsi="宋体" w:cs="宋体"/>
        </w:rPr>
        <w:t>予以更换，因更换而影响安装与调试整体项目进度的，每推迟一天投入运行扣除合同金额的0.1%；如更换后仍不能达到</w:t>
      </w:r>
      <w:r>
        <w:rPr>
          <w:rFonts w:hint="eastAsia" w:ascii="宋体" w:hAnsi="宋体" w:cs="宋体"/>
          <w:lang w:eastAsia="zh-CN"/>
        </w:rPr>
        <w:t>技术协议</w:t>
      </w:r>
      <w:r>
        <w:rPr>
          <w:rFonts w:hint="eastAsia" w:ascii="宋体" w:hAnsi="宋体" w:cs="宋体"/>
        </w:rPr>
        <w:t>要求的，考核该套设备合同价10％的违约金。</w:t>
      </w:r>
    </w:p>
    <w:p w14:paraId="59B9222C">
      <w:pPr>
        <w:tabs>
          <w:tab w:val="left" w:pos="240"/>
          <w:tab w:val="left" w:pos="600"/>
          <w:tab w:val="left" w:pos="840"/>
        </w:tabs>
        <w:spacing w:line="500" w:lineRule="exact"/>
        <w:rPr>
          <w:rFonts w:hint="eastAsia" w:ascii="宋体" w:hAnsi="宋体" w:cs="宋体"/>
        </w:rPr>
      </w:pPr>
      <w:r>
        <w:rPr>
          <w:rFonts w:hint="eastAsia" w:ascii="宋体" w:hAnsi="宋体" w:cs="宋体"/>
        </w:rPr>
        <w:t>5、对项目实施过程中违反</w:t>
      </w:r>
      <w:r>
        <w:rPr>
          <w:rFonts w:hint="eastAsia" w:ascii="宋体" w:hAnsi="宋体" w:cs="宋体"/>
          <w:lang w:eastAsia="zh-CN"/>
        </w:rPr>
        <w:t>招标人</w:t>
      </w:r>
      <w:r>
        <w:rPr>
          <w:rFonts w:hint="eastAsia" w:ascii="宋体" w:hAnsi="宋体" w:cs="宋体"/>
          <w:lang w:val="en-US" w:eastAsia="zh-CN"/>
        </w:rPr>
        <w:t>及最终使用方</w:t>
      </w:r>
      <w:r>
        <w:rPr>
          <w:rFonts w:hint="eastAsia" w:ascii="宋体" w:hAnsi="宋体" w:cs="宋体"/>
        </w:rPr>
        <w:t>有关规章制度的按</w:t>
      </w:r>
      <w:r>
        <w:rPr>
          <w:rFonts w:hint="eastAsia" w:ascii="宋体" w:hAnsi="宋体" w:cs="宋体"/>
          <w:lang w:val="en-US" w:eastAsia="zh-CN"/>
        </w:rPr>
        <w:t>相关</w:t>
      </w:r>
      <w:r>
        <w:rPr>
          <w:rFonts w:hint="eastAsia" w:ascii="宋体" w:hAnsi="宋体" w:cs="宋体"/>
        </w:rPr>
        <w:t>考核标准进行考核。</w:t>
      </w:r>
    </w:p>
    <w:p w14:paraId="5C1D212B">
      <w:pPr>
        <w:pStyle w:val="3"/>
        <w:numPr>
          <w:ilvl w:val="-1"/>
          <w:numId w:val="0"/>
        </w:numPr>
        <w:rPr>
          <w:rFonts w:hint="eastAsia" w:hAnsi="宋体" w:cs="宋体"/>
          <w:sz w:val="30"/>
          <w:szCs w:val="30"/>
        </w:rPr>
      </w:pPr>
      <w:bookmarkStart w:id="113" w:name="_Toc98357970"/>
      <w:bookmarkStart w:id="114" w:name="_Toc346199018"/>
      <w:r>
        <w:rPr>
          <w:rFonts w:hint="eastAsia" w:hAnsi="宋体" w:cs="宋体"/>
          <w:sz w:val="30"/>
          <w:szCs w:val="30"/>
        </w:rPr>
        <w:br w:type="page"/>
      </w:r>
      <w:bookmarkStart w:id="115" w:name="_Toc2163"/>
      <w:r>
        <w:rPr>
          <w:rFonts w:hint="eastAsia" w:hAnsi="宋体" w:cs="宋体"/>
          <w:sz w:val="30"/>
          <w:szCs w:val="30"/>
        </w:rPr>
        <w:t>附件1</w:t>
      </w:r>
      <w:r>
        <w:rPr>
          <w:rFonts w:hint="eastAsia" w:hAnsi="宋体" w:cs="宋体"/>
          <w:sz w:val="30"/>
          <w:szCs w:val="30"/>
          <w:lang w:val="en-US" w:eastAsia="zh-CN"/>
        </w:rPr>
        <w:t>3</w:t>
      </w:r>
      <w:r>
        <w:rPr>
          <w:rFonts w:hint="eastAsia" w:hAnsi="宋体" w:cs="宋体"/>
          <w:sz w:val="30"/>
          <w:szCs w:val="30"/>
        </w:rPr>
        <w:t xml:space="preserve"> </w:t>
      </w:r>
      <w:r>
        <w:rPr>
          <w:rFonts w:hint="eastAsia" w:hAnsi="宋体" w:cs="宋体"/>
          <w:sz w:val="30"/>
          <w:szCs w:val="30"/>
          <w:lang w:eastAsia="zh-CN"/>
        </w:rPr>
        <w:t>投标人</w:t>
      </w:r>
      <w:r>
        <w:rPr>
          <w:rFonts w:hint="eastAsia" w:hAnsi="宋体" w:cs="宋体"/>
          <w:sz w:val="30"/>
          <w:szCs w:val="30"/>
        </w:rPr>
        <w:t>需要说明的其他问题（技术特点、质保体系及售后服务承诺等）</w:t>
      </w:r>
      <w:bookmarkEnd w:id="113"/>
      <w:bookmarkEnd w:id="115"/>
    </w:p>
    <w:bookmarkEnd w:id="114"/>
    <w:p w14:paraId="0E3F2CAD">
      <w:pPr>
        <w:rPr>
          <w:color w:val="000000" w:themeColor="text1"/>
          <w14:textFill>
            <w14:solidFill>
              <w14:schemeClr w14:val="tx1"/>
            </w14:solidFill>
          </w14:textFill>
        </w:rPr>
      </w:pPr>
    </w:p>
    <w:p w14:paraId="32EB09A7">
      <w:pPr>
        <w:pStyle w:val="2"/>
      </w:pPr>
    </w:p>
    <w:sectPr>
      <w:headerReference r:id="rId7" w:type="default"/>
      <w:pgSz w:w="11906" w:h="16838"/>
      <w:pgMar w:top="1474" w:right="1247" w:bottom="1560" w:left="1474" w:header="907"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5BB92">
    <w:pPr>
      <w:pStyle w:val="21"/>
      <w:framePr w:wrap="around" w:vAnchor="text" w:hAnchor="page" w:x="5716" w:y="-86"/>
      <w:rPr>
        <w:rStyle w:val="28"/>
      </w:rPr>
    </w:pPr>
    <w:r>
      <w:rPr>
        <w:rStyle w:val="28"/>
      </w:rPr>
      <w:fldChar w:fldCharType="begin"/>
    </w:r>
    <w:r>
      <w:rPr>
        <w:rStyle w:val="28"/>
      </w:rPr>
      <w:instrText xml:space="preserve">PAGE  </w:instrText>
    </w:r>
    <w:r>
      <w:rPr>
        <w:rStyle w:val="28"/>
      </w:rPr>
      <w:fldChar w:fldCharType="separate"/>
    </w:r>
    <w:r>
      <w:rPr>
        <w:rStyle w:val="28"/>
      </w:rPr>
      <w:t>1</w:t>
    </w:r>
    <w:r>
      <w:rPr>
        <w:rStyle w:val="28"/>
      </w:rPr>
      <w:fldChar w:fldCharType="end"/>
    </w:r>
  </w:p>
  <w:p w14:paraId="2C2F5B44">
    <w:pPr>
      <w:pStyle w:val="21"/>
      <w:ind w:right="360" w:firstLine="90" w:firstLineChars="5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918E2">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17DD7">
    <w:pPr>
      <w:pStyle w:val="22"/>
      <w:pBdr>
        <w:bottom w:val="none" w:color="auto" w:sz="0" w:space="0"/>
      </w:pBdr>
      <w:jc w:val="both"/>
      <w:rPr>
        <w:rFonts w:hint="eastAsia" w:eastAsia="宋体"/>
        <w:u w:val="single"/>
        <w:lang w:val="en-US" w:eastAsia="zh-CN"/>
      </w:rPr>
    </w:pPr>
    <w:r>
      <w:rPr>
        <w:rFonts w:hint="eastAsia"/>
        <w:kern w:val="0"/>
        <w:sz w:val="24"/>
      </w:rPr>
      <w:t>台州临港热电有限公司扩建项目</w:t>
    </w:r>
    <w:r>
      <w:rPr>
        <w:rFonts w:hint="eastAsia"/>
        <w:kern w:val="0"/>
        <w:sz w:val="24"/>
        <w:lang w:eastAsia="zh-CN"/>
      </w:rPr>
      <w:t>工程</w:t>
    </w:r>
    <w:r>
      <w:rPr>
        <w:rFonts w:hint="eastAsia"/>
        <w:kern w:val="0"/>
        <w:sz w:val="24"/>
        <w:lang w:val="en-US" w:eastAsia="zh-CN"/>
      </w:rPr>
      <w:t xml:space="preserve">            </w:t>
    </w:r>
    <w:r>
      <w:rPr>
        <w:rFonts w:hint="eastAsia" w:hAnsi="宋体"/>
        <w:sz w:val="24"/>
      </w:rPr>
      <w:t>大屏幕系统和操作台</w:t>
    </w:r>
    <w:r>
      <w:rPr>
        <w:rFonts w:hint="eastAsia" w:hAnsi="宋体"/>
        <w:sz w:val="24"/>
        <w:lang w:eastAsia="zh-CN"/>
      </w:rPr>
      <w:t>技术规范书</w:t>
    </w:r>
  </w:p>
  <w:p w14:paraId="7565B52C">
    <w:pPr>
      <w:pStyle w:val="22"/>
      <w:pBdr>
        <w:bottom w:val="none" w:color="auto" w:sz="0" w:space="0"/>
      </w:pBdr>
      <w:rPr>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DF1AB">
    <w:pPr>
      <w:pStyle w:val="2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01E8A">
    <w:pPr>
      <w:pStyle w:val="22"/>
      <w:jc w:val="both"/>
      <w:rPr>
        <w:rFonts w:hAnsi="宋体"/>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5DA09E"/>
    <w:multiLevelType w:val="singleLevel"/>
    <w:tmpl w:val="A85DA09E"/>
    <w:lvl w:ilvl="0" w:tentative="0">
      <w:start w:val="1"/>
      <w:numFmt w:val="decimal"/>
      <w:suff w:val="nothing"/>
      <w:lvlText w:val="（%1）"/>
      <w:lvlJc w:val="left"/>
    </w:lvl>
  </w:abstractNum>
  <w:abstractNum w:abstractNumId="1">
    <w:nsid w:val="FFFFFFFB"/>
    <w:multiLevelType w:val="multilevel"/>
    <w:tmpl w:val="FFFFFFFB"/>
    <w:lvl w:ilvl="0" w:tentative="0">
      <w:start w:val="1"/>
      <w:numFmt w:val="decimal"/>
      <w:pStyle w:val="3"/>
      <w:lvlText w:val="%1"/>
      <w:lvlJc w:val="left"/>
      <w:pPr>
        <w:tabs>
          <w:tab w:val="left" w:pos="360"/>
        </w:tabs>
        <w:ind w:left="0" w:firstLine="0"/>
      </w:pPr>
      <w:rPr>
        <w:rFonts w:hint="eastAsia"/>
      </w:rPr>
    </w:lvl>
    <w:lvl w:ilvl="1" w:tentative="0">
      <w:start w:val="1"/>
      <w:numFmt w:val="decimal"/>
      <w:lvlText w:val="%1.%2"/>
      <w:lvlJc w:val="left"/>
      <w:pPr>
        <w:tabs>
          <w:tab w:val="left" w:pos="360"/>
        </w:tabs>
        <w:ind w:left="0" w:firstLine="0"/>
      </w:pPr>
      <w:rPr>
        <w:rFonts w:hint="eastAsia"/>
      </w:rPr>
    </w:lvl>
    <w:lvl w:ilvl="2" w:tentative="0">
      <w:start w:val="1"/>
      <w:numFmt w:val="decimal"/>
      <w:pStyle w:val="5"/>
      <w:lvlText w:val="%1.%2.%3"/>
      <w:lvlJc w:val="left"/>
      <w:pPr>
        <w:tabs>
          <w:tab w:val="left" w:pos="720"/>
        </w:tabs>
        <w:ind w:left="0" w:firstLine="0"/>
      </w:pPr>
      <w:rPr>
        <w:rFonts w:hint="eastAsia"/>
      </w:rPr>
    </w:lvl>
    <w:lvl w:ilvl="3" w:tentative="0">
      <w:start w:val="1"/>
      <w:numFmt w:val="decimal"/>
      <w:pStyle w:val="6"/>
      <w:lvlText w:val="%1.%2.%3.%4"/>
      <w:lvlJc w:val="left"/>
      <w:pPr>
        <w:tabs>
          <w:tab w:val="left" w:pos="720"/>
        </w:tabs>
        <w:ind w:left="113" w:hanging="113"/>
      </w:pPr>
      <w:rPr>
        <w:rFonts w:hint="eastAsia"/>
      </w:rPr>
    </w:lvl>
    <w:lvl w:ilvl="4" w:tentative="0">
      <w:start w:val="1"/>
      <w:numFmt w:val="decimal"/>
      <w:pStyle w:val="7"/>
      <w:lvlText w:val="(%5)"/>
      <w:lvlJc w:val="left"/>
      <w:pPr>
        <w:tabs>
          <w:tab w:val="left" w:pos="0"/>
        </w:tabs>
        <w:ind w:left="0" w:firstLine="0"/>
      </w:pPr>
      <w:rPr>
        <w:rFonts w:hint="eastAsia"/>
      </w:rPr>
    </w:lvl>
    <w:lvl w:ilvl="5" w:tentative="0">
      <w:start w:val="1"/>
      <w:numFmt w:val="decimal"/>
      <w:pStyle w:val="8"/>
      <w:lvlText w:val="%6)"/>
      <w:lvlJc w:val="left"/>
      <w:pPr>
        <w:tabs>
          <w:tab w:val="left" w:pos="0"/>
        </w:tabs>
        <w:ind w:left="0" w:firstLine="0"/>
      </w:pPr>
      <w:rPr>
        <w:rFonts w:hint="eastAsia"/>
      </w:rPr>
    </w:lvl>
    <w:lvl w:ilvl="6" w:tentative="0">
      <w:start w:val="1"/>
      <w:numFmt w:val="lowerLetter"/>
      <w:pStyle w:val="9"/>
      <w:lvlText w:val="(%7)"/>
      <w:lvlJc w:val="left"/>
      <w:pPr>
        <w:tabs>
          <w:tab w:val="left" w:pos="0"/>
        </w:tabs>
        <w:ind w:left="0" w:firstLine="0"/>
      </w:pPr>
      <w:rPr>
        <w:rFonts w:hint="eastAsia"/>
      </w:rPr>
    </w:lvl>
    <w:lvl w:ilvl="7" w:tentative="0">
      <w:start w:val="1"/>
      <w:numFmt w:val="lowerLetter"/>
      <w:pStyle w:val="10"/>
      <w:lvlText w:val="%8)"/>
      <w:lvlJc w:val="left"/>
      <w:pPr>
        <w:tabs>
          <w:tab w:val="left" w:pos="0"/>
        </w:tabs>
        <w:ind w:left="0" w:firstLine="0"/>
      </w:pPr>
      <w:rPr>
        <w:rFonts w:hint="eastAsia"/>
      </w:rPr>
    </w:lvl>
    <w:lvl w:ilvl="8" w:tentative="0">
      <w:start w:val="1"/>
      <w:numFmt w:val="decimal"/>
      <w:pStyle w:val="11"/>
      <w:lvlText w:val="%8).%9"/>
      <w:lvlJc w:val="left"/>
      <w:pPr>
        <w:tabs>
          <w:tab w:val="left" w:pos="0"/>
        </w:tabs>
        <w:ind w:left="0" w:firstLine="0"/>
      </w:pPr>
      <w:rPr>
        <w:rFonts w:hint="eastAsia"/>
      </w:rPr>
    </w:lvl>
  </w:abstractNum>
  <w:abstractNum w:abstractNumId="2">
    <w:nsid w:val="00000010"/>
    <w:multiLevelType w:val="multilevel"/>
    <w:tmpl w:val="00000010"/>
    <w:lvl w:ilvl="0" w:tentative="0">
      <w:start w:val="1"/>
      <w:numFmt w:val="decimal"/>
      <w:lvlText w:val="（%1）"/>
      <w:lvlJc w:val="left"/>
      <w:pPr>
        <w:tabs>
          <w:tab w:val="left" w:pos="1200"/>
        </w:tabs>
        <w:ind w:left="1200" w:hanging="720"/>
      </w:pPr>
      <w:rPr>
        <w:rFonts w:hint="eastAsia"/>
        <w:lang w:val="en-US"/>
      </w:rPr>
    </w:lvl>
    <w:lvl w:ilvl="1" w:tentative="0">
      <w:start w:val="1"/>
      <w:numFmt w:val="lowerLetter"/>
      <w:lvlText w:val="%2)"/>
      <w:lvlJc w:val="left"/>
      <w:pPr>
        <w:tabs>
          <w:tab w:val="left" w:pos="894"/>
        </w:tabs>
        <w:ind w:left="894" w:hanging="420"/>
      </w:pPr>
    </w:lvl>
    <w:lvl w:ilvl="2" w:tentative="0">
      <w:start w:val="1"/>
      <w:numFmt w:val="lowerRoman"/>
      <w:lvlText w:val="%3."/>
      <w:lvlJc w:val="right"/>
      <w:pPr>
        <w:tabs>
          <w:tab w:val="left" w:pos="1314"/>
        </w:tabs>
        <w:ind w:left="1314" w:hanging="420"/>
      </w:pPr>
    </w:lvl>
    <w:lvl w:ilvl="3" w:tentative="0">
      <w:start w:val="1"/>
      <w:numFmt w:val="decimal"/>
      <w:lvlText w:val="%4."/>
      <w:lvlJc w:val="left"/>
      <w:pPr>
        <w:tabs>
          <w:tab w:val="left" w:pos="1734"/>
        </w:tabs>
        <w:ind w:left="1734" w:hanging="420"/>
      </w:pPr>
    </w:lvl>
    <w:lvl w:ilvl="4" w:tentative="0">
      <w:start w:val="1"/>
      <w:numFmt w:val="lowerLetter"/>
      <w:lvlText w:val="%5)"/>
      <w:lvlJc w:val="left"/>
      <w:pPr>
        <w:tabs>
          <w:tab w:val="left" w:pos="2154"/>
        </w:tabs>
        <w:ind w:left="2154" w:hanging="420"/>
      </w:pPr>
    </w:lvl>
    <w:lvl w:ilvl="5" w:tentative="0">
      <w:start w:val="1"/>
      <w:numFmt w:val="lowerRoman"/>
      <w:lvlText w:val="%6."/>
      <w:lvlJc w:val="right"/>
      <w:pPr>
        <w:tabs>
          <w:tab w:val="left" w:pos="2574"/>
        </w:tabs>
        <w:ind w:left="2574" w:hanging="420"/>
      </w:pPr>
    </w:lvl>
    <w:lvl w:ilvl="6" w:tentative="0">
      <w:start w:val="1"/>
      <w:numFmt w:val="decimal"/>
      <w:lvlText w:val="%7."/>
      <w:lvlJc w:val="left"/>
      <w:pPr>
        <w:tabs>
          <w:tab w:val="left" w:pos="2994"/>
        </w:tabs>
        <w:ind w:left="2994" w:hanging="420"/>
      </w:pPr>
    </w:lvl>
    <w:lvl w:ilvl="7" w:tentative="0">
      <w:start w:val="1"/>
      <w:numFmt w:val="lowerLetter"/>
      <w:lvlText w:val="%8)"/>
      <w:lvlJc w:val="left"/>
      <w:pPr>
        <w:tabs>
          <w:tab w:val="left" w:pos="3414"/>
        </w:tabs>
        <w:ind w:left="3414" w:hanging="420"/>
      </w:pPr>
    </w:lvl>
    <w:lvl w:ilvl="8" w:tentative="0">
      <w:start w:val="1"/>
      <w:numFmt w:val="lowerRoman"/>
      <w:lvlText w:val="%9."/>
      <w:lvlJc w:val="right"/>
      <w:pPr>
        <w:tabs>
          <w:tab w:val="left" w:pos="3834"/>
        </w:tabs>
        <w:ind w:left="3834" w:hanging="420"/>
      </w:pPr>
    </w:lvl>
  </w:abstractNum>
  <w:abstractNum w:abstractNumId="3">
    <w:nsid w:val="26C46129"/>
    <w:multiLevelType w:val="multilevel"/>
    <w:tmpl w:val="26C46129"/>
    <w:lvl w:ilvl="0" w:tentative="0">
      <w:start w:val="1"/>
      <w:numFmt w:val="decimal"/>
      <w:lvlText w:val="2.%1"/>
      <w:lvlJc w:val="left"/>
      <w:pPr>
        <w:ind w:left="420" w:hanging="420"/>
      </w:pPr>
      <w:rPr>
        <w:rFonts w:hint="eastAsia" w:ascii="宋体" w:eastAsia="宋体"/>
        <w:b w:val="0"/>
        <w:bCs w:val="0"/>
        <w:i w:val="0"/>
        <w:iCs w:val="0"/>
        <w:spacing w:val="8"/>
        <w:w w:val="100"/>
        <w:position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143601"/>
    <w:multiLevelType w:val="singleLevel"/>
    <w:tmpl w:val="47143601"/>
    <w:lvl w:ilvl="0" w:tentative="0">
      <w:start w:val="2"/>
      <w:numFmt w:val="decimal"/>
      <w:suff w:val="nothing"/>
      <w:lvlText w:val="（%1）"/>
      <w:lvlJc w:val="left"/>
    </w:lvl>
  </w:abstractNum>
  <w:abstractNum w:abstractNumId="5">
    <w:nsid w:val="72BCE7D9"/>
    <w:multiLevelType w:val="singleLevel"/>
    <w:tmpl w:val="72BCE7D9"/>
    <w:lvl w:ilvl="0" w:tentative="0">
      <w:start w:val="3"/>
      <w:numFmt w:val="decimal"/>
      <w:suff w:val="nothing"/>
      <w:lvlText w:val="（%1）"/>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NWFlMDg1NDZjMDVmYzI4NjVkYjlhZDg3NjY2NjYifQ=="/>
  </w:docVars>
  <w:rsids>
    <w:rsidRoot w:val="00583FAC"/>
    <w:rsid w:val="00000E23"/>
    <w:rsid w:val="00011968"/>
    <w:rsid w:val="00012FA8"/>
    <w:rsid w:val="00035D53"/>
    <w:rsid w:val="00055D30"/>
    <w:rsid w:val="000601FC"/>
    <w:rsid w:val="000829F2"/>
    <w:rsid w:val="00093530"/>
    <w:rsid w:val="000A0EFF"/>
    <w:rsid w:val="000A4622"/>
    <w:rsid w:val="000B7246"/>
    <w:rsid w:val="000C3985"/>
    <w:rsid w:val="000D2F9C"/>
    <w:rsid w:val="000F3BCC"/>
    <w:rsid w:val="000F7C7F"/>
    <w:rsid w:val="00103897"/>
    <w:rsid w:val="0010788C"/>
    <w:rsid w:val="00120965"/>
    <w:rsid w:val="00131282"/>
    <w:rsid w:val="0013645D"/>
    <w:rsid w:val="0013717E"/>
    <w:rsid w:val="00146FDE"/>
    <w:rsid w:val="00167CBC"/>
    <w:rsid w:val="00174621"/>
    <w:rsid w:val="00182E32"/>
    <w:rsid w:val="001843DE"/>
    <w:rsid w:val="001A6EE2"/>
    <w:rsid w:val="001B14AD"/>
    <w:rsid w:val="001B4123"/>
    <w:rsid w:val="001B53C8"/>
    <w:rsid w:val="001B611F"/>
    <w:rsid w:val="001C4F7F"/>
    <w:rsid w:val="001D597C"/>
    <w:rsid w:val="001D5B0D"/>
    <w:rsid w:val="001D6A1B"/>
    <w:rsid w:val="001F310A"/>
    <w:rsid w:val="001F507C"/>
    <w:rsid w:val="001F7A74"/>
    <w:rsid w:val="002035E0"/>
    <w:rsid w:val="002120AE"/>
    <w:rsid w:val="0023173D"/>
    <w:rsid w:val="002336EE"/>
    <w:rsid w:val="00243C1B"/>
    <w:rsid w:val="0024590D"/>
    <w:rsid w:val="002562D4"/>
    <w:rsid w:val="0026449A"/>
    <w:rsid w:val="0027720B"/>
    <w:rsid w:val="00277ACC"/>
    <w:rsid w:val="00284DB0"/>
    <w:rsid w:val="00286981"/>
    <w:rsid w:val="002A548F"/>
    <w:rsid w:val="002B45DB"/>
    <w:rsid w:val="002B7ACA"/>
    <w:rsid w:val="002C0F5D"/>
    <w:rsid w:val="002D4D23"/>
    <w:rsid w:val="002D64A2"/>
    <w:rsid w:val="002E71F9"/>
    <w:rsid w:val="00302780"/>
    <w:rsid w:val="003123D6"/>
    <w:rsid w:val="00333B7B"/>
    <w:rsid w:val="0034367A"/>
    <w:rsid w:val="00343DE2"/>
    <w:rsid w:val="00364015"/>
    <w:rsid w:val="00364389"/>
    <w:rsid w:val="00365F0C"/>
    <w:rsid w:val="00366545"/>
    <w:rsid w:val="00367E27"/>
    <w:rsid w:val="00370465"/>
    <w:rsid w:val="00380B6C"/>
    <w:rsid w:val="003A33F4"/>
    <w:rsid w:val="003B57C5"/>
    <w:rsid w:val="003B5F95"/>
    <w:rsid w:val="003C35AD"/>
    <w:rsid w:val="003C37D7"/>
    <w:rsid w:val="003D75D1"/>
    <w:rsid w:val="00420927"/>
    <w:rsid w:val="00451891"/>
    <w:rsid w:val="00451DB3"/>
    <w:rsid w:val="004529A2"/>
    <w:rsid w:val="004560DC"/>
    <w:rsid w:val="0047419E"/>
    <w:rsid w:val="0048119D"/>
    <w:rsid w:val="00496646"/>
    <w:rsid w:val="004B2A10"/>
    <w:rsid w:val="004B4D49"/>
    <w:rsid w:val="004D6D1F"/>
    <w:rsid w:val="004E59AE"/>
    <w:rsid w:val="004F57DE"/>
    <w:rsid w:val="00505208"/>
    <w:rsid w:val="00510ED7"/>
    <w:rsid w:val="005117E7"/>
    <w:rsid w:val="00543FDB"/>
    <w:rsid w:val="0054440A"/>
    <w:rsid w:val="00550E1C"/>
    <w:rsid w:val="0056638B"/>
    <w:rsid w:val="0057452B"/>
    <w:rsid w:val="0058124A"/>
    <w:rsid w:val="00583FAC"/>
    <w:rsid w:val="00595498"/>
    <w:rsid w:val="00596898"/>
    <w:rsid w:val="005A2AF9"/>
    <w:rsid w:val="005B0B54"/>
    <w:rsid w:val="005B64B8"/>
    <w:rsid w:val="005B6FE6"/>
    <w:rsid w:val="005C225F"/>
    <w:rsid w:val="005C3C5C"/>
    <w:rsid w:val="005D2AD6"/>
    <w:rsid w:val="005F04BB"/>
    <w:rsid w:val="0060333F"/>
    <w:rsid w:val="00611704"/>
    <w:rsid w:val="00622A60"/>
    <w:rsid w:val="00623303"/>
    <w:rsid w:val="006271D7"/>
    <w:rsid w:val="00632604"/>
    <w:rsid w:val="0066194B"/>
    <w:rsid w:val="00686F92"/>
    <w:rsid w:val="0068701A"/>
    <w:rsid w:val="0069492B"/>
    <w:rsid w:val="006963D4"/>
    <w:rsid w:val="006A7178"/>
    <w:rsid w:val="006B28BD"/>
    <w:rsid w:val="006C46AA"/>
    <w:rsid w:val="006C67B5"/>
    <w:rsid w:val="006D0560"/>
    <w:rsid w:val="006D28CF"/>
    <w:rsid w:val="006D2E2D"/>
    <w:rsid w:val="006E2468"/>
    <w:rsid w:val="006F0D58"/>
    <w:rsid w:val="007014A7"/>
    <w:rsid w:val="007029B4"/>
    <w:rsid w:val="00711246"/>
    <w:rsid w:val="00712CF4"/>
    <w:rsid w:val="007136BE"/>
    <w:rsid w:val="007179C4"/>
    <w:rsid w:val="00721419"/>
    <w:rsid w:val="0072308B"/>
    <w:rsid w:val="00731232"/>
    <w:rsid w:val="007329C9"/>
    <w:rsid w:val="00740B79"/>
    <w:rsid w:val="00742EA0"/>
    <w:rsid w:val="00752425"/>
    <w:rsid w:val="00757C18"/>
    <w:rsid w:val="007644C5"/>
    <w:rsid w:val="007656B1"/>
    <w:rsid w:val="007678CD"/>
    <w:rsid w:val="007704B1"/>
    <w:rsid w:val="007778D0"/>
    <w:rsid w:val="007D2CAD"/>
    <w:rsid w:val="007D43C0"/>
    <w:rsid w:val="007E159B"/>
    <w:rsid w:val="007E2EC1"/>
    <w:rsid w:val="007E3970"/>
    <w:rsid w:val="007E627D"/>
    <w:rsid w:val="007E747A"/>
    <w:rsid w:val="007F6F0C"/>
    <w:rsid w:val="00801EBD"/>
    <w:rsid w:val="00810D06"/>
    <w:rsid w:val="008129A5"/>
    <w:rsid w:val="008231DE"/>
    <w:rsid w:val="00830E14"/>
    <w:rsid w:val="008378DC"/>
    <w:rsid w:val="00851091"/>
    <w:rsid w:val="00853548"/>
    <w:rsid w:val="008605CE"/>
    <w:rsid w:val="008617A6"/>
    <w:rsid w:val="00864666"/>
    <w:rsid w:val="008668C5"/>
    <w:rsid w:val="00877759"/>
    <w:rsid w:val="008806A9"/>
    <w:rsid w:val="00893749"/>
    <w:rsid w:val="008A2091"/>
    <w:rsid w:val="008A703B"/>
    <w:rsid w:val="008A7626"/>
    <w:rsid w:val="008C27EC"/>
    <w:rsid w:val="008C7F87"/>
    <w:rsid w:val="008D26DC"/>
    <w:rsid w:val="008D3B74"/>
    <w:rsid w:val="008D5136"/>
    <w:rsid w:val="008E278C"/>
    <w:rsid w:val="008E7634"/>
    <w:rsid w:val="008F289D"/>
    <w:rsid w:val="008F3ECB"/>
    <w:rsid w:val="0090511D"/>
    <w:rsid w:val="00916316"/>
    <w:rsid w:val="00916C62"/>
    <w:rsid w:val="009252CD"/>
    <w:rsid w:val="00945F37"/>
    <w:rsid w:val="009541A3"/>
    <w:rsid w:val="00957AA2"/>
    <w:rsid w:val="00972421"/>
    <w:rsid w:val="00973CB7"/>
    <w:rsid w:val="00983881"/>
    <w:rsid w:val="009A3722"/>
    <w:rsid w:val="009A4E4B"/>
    <w:rsid w:val="009A72E1"/>
    <w:rsid w:val="009C142F"/>
    <w:rsid w:val="009D0D3B"/>
    <w:rsid w:val="009E57FE"/>
    <w:rsid w:val="009E5C32"/>
    <w:rsid w:val="009F0546"/>
    <w:rsid w:val="009F406A"/>
    <w:rsid w:val="009F798D"/>
    <w:rsid w:val="00A01712"/>
    <w:rsid w:val="00A02FA7"/>
    <w:rsid w:val="00A21060"/>
    <w:rsid w:val="00A27211"/>
    <w:rsid w:val="00A47C66"/>
    <w:rsid w:val="00A56C2A"/>
    <w:rsid w:val="00A64506"/>
    <w:rsid w:val="00A663FC"/>
    <w:rsid w:val="00A8472C"/>
    <w:rsid w:val="00A87C2A"/>
    <w:rsid w:val="00A91540"/>
    <w:rsid w:val="00A918C3"/>
    <w:rsid w:val="00A96299"/>
    <w:rsid w:val="00AB3532"/>
    <w:rsid w:val="00AB7C7A"/>
    <w:rsid w:val="00AD2673"/>
    <w:rsid w:val="00AD3CCA"/>
    <w:rsid w:val="00AF1471"/>
    <w:rsid w:val="00AF4DC7"/>
    <w:rsid w:val="00B039A7"/>
    <w:rsid w:val="00B04CFD"/>
    <w:rsid w:val="00B07304"/>
    <w:rsid w:val="00B10E83"/>
    <w:rsid w:val="00B153C3"/>
    <w:rsid w:val="00B271F2"/>
    <w:rsid w:val="00B337F7"/>
    <w:rsid w:val="00B40375"/>
    <w:rsid w:val="00B43C20"/>
    <w:rsid w:val="00B456FF"/>
    <w:rsid w:val="00B50E13"/>
    <w:rsid w:val="00B53A35"/>
    <w:rsid w:val="00B57B17"/>
    <w:rsid w:val="00B83D07"/>
    <w:rsid w:val="00BA0D27"/>
    <w:rsid w:val="00BA613A"/>
    <w:rsid w:val="00BA6EC8"/>
    <w:rsid w:val="00BB5945"/>
    <w:rsid w:val="00BB7A21"/>
    <w:rsid w:val="00BC211D"/>
    <w:rsid w:val="00BC23AC"/>
    <w:rsid w:val="00BC786A"/>
    <w:rsid w:val="00BE58D3"/>
    <w:rsid w:val="00BF53C4"/>
    <w:rsid w:val="00C25696"/>
    <w:rsid w:val="00C45C3F"/>
    <w:rsid w:val="00C5324F"/>
    <w:rsid w:val="00C679E0"/>
    <w:rsid w:val="00C73CC6"/>
    <w:rsid w:val="00C749FC"/>
    <w:rsid w:val="00CB08D4"/>
    <w:rsid w:val="00CB1521"/>
    <w:rsid w:val="00CB7380"/>
    <w:rsid w:val="00CE40D6"/>
    <w:rsid w:val="00CE53D8"/>
    <w:rsid w:val="00CE673C"/>
    <w:rsid w:val="00CE7D5C"/>
    <w:rsid w:val="00CF7DC4"/>
    <w:rsid w:val="00D15506"/>
    <w:rsid w:val="00D26E8D"/>
    <w:rsid w:val="00D42609"/>
    <w:rsid w:val="00D47C56"/>
    <w:rsid w:val="00D60F3C"/>
    <w:rsid w:val="00D671B5"/>
    <w:rsid w:val="00D70D5A"/>
    <w:rsid w:val="00D715E7"/>
    <w:rsid w:val="00D73E1E"/>
    <w:rsid w:val="00D77239"/>
    <w:rsid w:val="00D81B2D"/>
    <w:rsid w:val="00D85D9E"/>
    <w:rsid w:val="00D92E75"/>
    <w:rsid w:val="00D95DF4"/>
    <w:rsid w:val="00DA274B"/>
    <w:rsid w:val="00DA68E0"/>
    <w:rsid w:val="00DB6D47"/>
    <w:rsid w:val="00DC116E"/>
    <w:rsid w:val="00DC2A1C"/>
    <w:rsid w:val="00DD10F6"/>
    <w:rsid w:val="00DD2E04"/>
    <w:rsid w:val="00DD423C"/>
    <w:rsid w:val="00DD4F2B"/>
    <w:rsid w:val="00DD5FA5"/>
    <w:rsid w:val="00DE3F32"/>
    <w:rsid w:val="00DE5588"/>
    <w:rsid w:val="00DF4167"/>
    <w:rsid w:val="00DF7BC2"/>
    <w:rsid w:val="00E06928"/>
    <w:rsid w:val="00E071CA"/>
    <w:rsid w:val="00E163FA"/>
    <w:rsid w:val="00E2437B"/>
    <w:rsid w:val="00E277DB"/>
    <w:rsid w:val="00E32C97"/>
    <w:rsid w:val="00E36FAC"/>
    <w:rsid w:val="00E37912"/>
    <w:rsid w:val="00E46405"/>
    <w:rsid w:val="00E77724"/>
    <w:rsid w:val="00E85609"/>
    <w:rsid w:val="00EA382A"/>
    <w:rsid w:val="00EB29F1"/>
    <w:rsid w:val="00EC41CE"/>
    <w:rsid w:val="00EC428C"/>
    <w:rsid w:val="00ED3C63"/>
    <w:rsid w:val="00ED4937"/>
    <w:rsid w:val="00EE3FB6"/>
    <w:rsid w:val="00EF17E6"/>
    <w:rsid w:val="00F0054B"/>
    <w:rsid w:val="00F069DD"/>
    <w:rsid w:val="00F2478A"/>
    <w:rsid w:val="00F25EA2"/>
    <w:rsid w:val="00F30369"/>
    <w:rsid w:val="00F61234"/>
    <w:rsid w:val="00F806E9"/>
    <w:rsid w:val="00F82568"/>
    <w:rsid w:val="00F86988"/>
    <w:rsid w:val="00F95554"/>
    <w:rsid w:val="00FA59EE"/>
    <w:rsid w:val="00FB3EFA"/>
    <w:rsid w:val="00FC34DD"/>
    <w:rsid w:val="00FC380C"/>
    <w:rsid w:val="00FC71D6"/>
    <w:rsid w:val="00FE4D78"/>
    <w:rsid w:val="00FE5C37"/>
    <w:rsid w:val="00FF438B"/>
    <w:rsid w:val="010B22B0"/>
    <w:rsid w:val="015971C6"/>
    <w:rsid w:val="01B76E6A"/>
    <w:rsid w:val="02F71C9E"/>
    <w:rsid w:val="04477AA3"/>
    <w:rsid w:val="074402CA"/>
    <w:rsid w:val="07EA2C20"/>
    <w:rsid w:val="07FA227C"/>
    <w:rsid w:val="09037F1D"/>
    <w:rsid w:val="097307CF"/>
    <w:rsid w:val="09C97D27"/>
    <w:rsid w:val="0A051F93"/>
    <w:rsid w:val="0C8E4429"/>
    <w:rsid w:val="0CAA2565"/>
    <w:rsid w:val="0E786D61"/>
    <w:rsid w:val="0EFD592E"/>
    <w:rsid w:val="0F0F7410"/>
    <w:rsid w:val="0F4B48EC"/>
    <w:rsid w:val="0F7D0F2A"/>
    <w:rsid w:val="0FA20A60"/>
    <w:rsid w:val="0FAA6444"/>
    <w:rsid w:val="0FD937DA"/>
    <w:rsid w:val="0FF41C8E"/>
    <w:rsid w:val="107000E3"/>
    <w:rsid w:val="10A67900"/>
    <w:rsid w:val="10FA0124"/>
    <w:rsid w:val="115B06EA"/>
    <w:rsid w:val="11BB73DB"/>
    <w:rsid w:val="12776018"/>
    <w:rsid w:val="13CA1B57"/>
    <w:rsid w:val="14D07641"/>
    <w:rsid w:val="14E35040"/>
    <w:rsid w:val="151D4A5C"/>
    <w:rsid w:val="15A50AED"/>
    <w:rsid w:val="16D3076C"/>
    <w:rsid w:val="171F0B4E"/>
    <w:rsid w:val="17485BB5"/>
    <w:rsid w:val="17602EFE"/>
    <w:rsid w:val="17A300C3"/>
    <w:rsid w:val="17F3167D"/>
    <w:rsid w:val="180E7440"/>
    <w:rsid w:val="19446AF3"/>
    <w:rsid w:val="195004FC"/>
    <w:rsid w:val="19F3005A"/>
    <w:rsid w:val="1A75281D"/>
    <w:rsid w:val="1AEF4263"/>
    <w:rsid w:val="1B8F6DED"/>
    <w:rsid w:val="1C6C7C4F"/>
    <w:rsid w:val="1DAC4100"/>
    <w:rsid w:val="1F5A0233"/>
    <w:rsid w:val="200D799B"/>
    <w:rsid w:val="203D4A97"/>
    <w:rsid w:val="20EA0517"/>
    <w:rsid w:val="20EB5E54"/>
    <w:rsid w:val="23906919"/>
    <w:rsid w:val="2460146A"/>
    <w:rsid w:val="24A7216D"/>
    <w:rsid w:val="24D86030"/>
    <w:rsid w:val="26D44D6F"/>
    <w:rsid w:val="26DE799C"/>
    <w:rsid w:val="27EE3C0E"/>
    <w:rsid w:val="285914B2"/>
    <w:rsid w:val="28AC2301"/>
    <w:rsid w:val="28AC30BD"/>
    <w:rsid w:val="2A8820F8"/>
    <w:rsid w:val="2AE5754B"/>
    <w:rsid w:val="2B004385"/>
    <w:rsid w:val="2CC87124"/>
    <w:rsid w:val="2DC72B6C"/>
    <w:rsid w:val="2E691756"/>
    <w:rsid w:val="2F212B3A"/>
    <w:rsid w:val="30077F63"/>
    <w:rsid w:val="31260B90"/>
    <w:rsid w:val="3220355E"/>
    <w:rsid w:val="323112C7"/>
    <w:rsid w:val="33704071"/>
    <w:rsid w:val="33C94D53"/>
    <w:rsid w:val="34AB214B"/>
    <w:rsid w:val="34D83C7C"/>
    <w:rsid w:val="356E638F"/>
    <w:rsid w:val="362353CB"/>
    <w:rsid w:val="37A442EA"/>
    <w:rsid w:val="37FD72CB"/>
    <w:rsid w:val="3A667F7C"/>
    <w:rsid w:val="3BAC19BF"/>
    <w:rsid w:val="3BEB0739"/>
    <w:rsid w:val="3C621DAB"/>
    <w:rsid w:val="3DB159B2"/>
    <w:rsid w:val="3F6A5E19"/>
    <w:rsid w:val="416F3381"/>
    <w:rsid w:val="42660066"/>
    <w:rsid w:val="42CB4E20"/>
    <w:rsid w:val="44D2693A"/>
    <w:rsid w:val="45280575"/>
    <w:rsid w:val="46F96400"/>
    <w:rsid w:val="4BF947AC"/>
    <w:rsid w:val="4C013661"/>
    <w:rsid w:val="4C0A0767"/>
    <w:rsid w:val="4D50664E"/>
    <w:rsid w:val="4D7100B9"/>
    <w:rsid w:val="4E7970F9"/>
    <w:rsid w:val="4FF5172F"/>
    <w:rsid w:val="507B4A8F"/>
    <w:rsid w:val="514364CA"/>
    <w:rsid w:val="51D33CF1"/>
    <w:rsid w:val="524231B0"/>
    <w:rsid w:val="52691264"/>
    <w:rsid w:val="52915707"/>
    <w:rsid w:val="52D90E94"/>
    <w:rsid w:val="55F10BEA"/>
    <w:rsid w:val="564A24CA"/>
    <w:rsid w:val="56B7773E"/>
    <w:rsid w:val="57660532"/>
    <w:rsid w:val="576E4ABA"/>
    <w:rsid w:val="59D52AD6"/>
    <w:rsid w:val="59EB25EB"/>
    <w:rsid w:val="59F52EB6"/>
    <w:rsid w:val="5B4041A6"/>
    <w:rsid w:val="5E2C3BC5"/>
    <w:rsid w:val="5E6D01A2"/>
    <w:rsid w:val="5E9B16F3"/>
    <w:rsid w:val="5EAF4847"/>
    <w:rsid w:val="5EE237C6"/>
    <w:rsid w:val="5FBB2FBC"/>
    <w:rsid w:val="60072991"/>
    <w:rsid w:val="60433DF0"/>
    <w:rsid w:val="61D278A7"/>
    <w:rsid w:val="635527B8"/>
    <w:rsid w:val="63DA4B5E"/>
    <w:rsid w:val="6477050C"/>
    <w:rsid w:val="66A54D1F"/>
    <w:rsid w:val="66C033D1"/>
    <w:rsid w:val="6A507835"/>
    <w:rsid w:val="6A8B4D12"/>
    <w:rsid w:val="729055BB"/>
    <w:rsid w:val="73741484"/>
    <w:rsid w:val="737F2F3A"/>
    <w:rsid w:val="73AD7AA7"/>
    <w:rsid w:val="74D3178F"/>
    <w:rsid w:val="762F0383"/>
    <w:rsid w:val="78016613"/>
    <w:rsid w:val="785126C5"/>
    <w:rsid w:val="7A641DCD"/>
    <w:rsid w:val="7BA17362"/>
    <w:rsid w:val="7C1E3C37"/>
    <w:rsid w:val="7C5A0EC4"/>
    <w:rsid w:val="7CAF2AE1"/>
    <w:rsid w:val="7D5E581F"/>
    <w:rsid w:val="7E3F60E7"/>
    <w:rsid w:val="7F250E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adjustRightInd w:val="0"/>
      <w:spacing w:line="460" w:lineRule="exact"/>
      <w:jc w:val="left"/>
      <w:textAlignment w:val="baseline"/>
      <w:outlineLvl w:val="0"/>
    </w:pPr>
    <w:rPr>
      <w:b/>
      <w:kern w:val="44"/>
      <w:sz w:val="24"/>
      <w:szCs w:val="20"/>
    </w:rPr>
  </w:style>
  <w:style w:type="paragraph" w:styleId="4">
    <w:name w:val="heading 2"/>
    <w:basedOn w:val="1"/>
    <w:next w:val="1"/>
    <w:link w:val="38"/>
    <w:qFormat/>
    <w:uiPriority w:val="0"/>
    <w:pPr>
      <w:widowControl/>
      <w:adjustRightInd w:val="0"/>
      <w:spacing w:line="360" w:lineRule="auto"/>
      <w:jc w:val="left"/>
      <w:textAlignment w:val="baseline"/>
      <w:outlineLvl w:val="1"/>
    </w:pPr>
    <w:rPr>
      <w:b/>
      <w:kern w:val="0"/>
      <w:sz w:val="28"/>
      <w:szCs w:val="28"/>
    </w:rPr>
  </w:style>
  <w:style w:type="paragraph" w:styleId="5">
    <w:name w:val="heading 3"/>
    <w:basedOn w:val="1"/>
    <w:next w:val="1"/>
    <w:qFormat/>
    <w:uiPriority w:val="0"/>
    <w:pPr>
      <w:numPr>
        <w:ilvl w:val="2"/>
        <w:numId w:val="1"/>
      </w:numPr>
      <w:adjustRightInd w:val="0"/>
      <w:spacing w:line="460" w:lineRule="exact"/>
      <w:jc w:val="left"/>
      <w:textAlignment w:val="baseline"/>
      <w:outlineLvl w:val="2"/>
    </w:pPr>
    <w:rPr>
      <w:kern w:val="0"/>
      <w:sz w:val="24"/>
      <w:szCs w:val="20"/>
    </w:rPr>
  </w:style>
  <w:style w:type="paragraph" w:styleId="6">
    <w:name w:val="heading 4"/>
    <w:basedOn w:val="1"/>
    <w:next w:val="1"/>
    <w:qFormat/>
    <w:uiPriority w:val="0"/>
    <w:pPr>
      <w:numPr>
        <w:ilvl w:val="3"/>
        <w:numId w:val="1"/>
      </w:numPr>
      <w:adjustRightInd w:val="0"/>
      <w:spacing w:line="460" w:lineRule="exact"/>
      <w:textAlignment w:val="baseline"/>
      <w:outlineLvl w:val="3"/>
    </w:pPr>
    <w:rPr>
      <w:kern w:val="0"/>
      <w:sz w:val="24"/>
      <w:szCs w:val="20"/>
    </w:rPr>
  </w:style>
  <w:style w:type="paragraph" w:styleId="7">
    <w:name w:val="heading 5"/>
    <w:basedOn w:val="1"/>
    <w:next w:val="1"/>
    <w:qFormat/>
    <w:uiPriority w:val="0"/>
    <w:pPr>
      <w:numPr>
        <w:ilvl w:val="4"/>
        <w:numId w:val="1"/>
      </w:numPr>
      <w:tabs>
        <w:tab w:val="left" w:pos="840"/>
        <w:tab w:val="clear" w:pos="0"/>
      </w:tabs>
      <w:adjustRightInd w:val="0"/>
      <w:spacing w:line="460" w:lineRule="exact"/>
      <w:ind w:left="480" w:hanging="240"/>
      <w:jc w:val="left"/>
      <w:textAlignment w:val="baseline"/>
      <w:outlineLvl w:val="4"/>
    </w:pPr>
    <w:rPr>
      <w:rFonts w:ascii="宋体"/>
      <w:kern w:val="0"/>
      <w:sz w:val="24"/>
      <w:szCs w:val="20"/>
    </w:rPr>
  </w:style>
  <w:style w:type="paragraph" w:styleId="8">
    <w:name w:val="heading 6"/>
    <w:basedOn w:val="1"/>
    <w:next w:val="1"/>
    <w:qFormat/>
    <w:uiPriority w:val="0"/>
    <w:pPr>
      <w:numPr>
        <w:ilvl w:val="5"/>
        <w:numId w:val="1"/>
      </w:numPr>
      <w:tabs>
        <w:tab w:val="left" w:pos="960"/>
        <w:tab w:val="clear" w:pos="0"/>
      </w:tabs>
      <w:adjustRightInd w:val="0"/>
      <w:spacing w:line="460" w:lineRule="exact"/>
      <w:ind w:left="600" w:hanging="120"/>
      <w:jc w:val="left"/>
      <w:textAlignment w:val="baseline"/>
      <w:outlineLvl w:val="5"/>
    </w:pPr>
    <w:rPr>
      <w:kern w:val="0"/>
      <w:sz w:val="24"/>
      <w:szCs w:val="20"/>
    </w:rPr>
  </w:style>
  <w:style w:type="paragraph" w:styleId="9">
    <w:name w:val="heading 7"/>
    <w:basedOn w:val="1"/>
    <w:next w:val="1"/>
    <w:qFormat/>
    <w:uiPriority w:val="0"/>
    <w:pPr>
      <w:numPr>
        <w:ilvl w:val="6"/>
        <w:numId w:val="1"/>
      </w:numPr>
      <w:tabs>
        <w:tab w:val="clear" w:pos="0"/>
      </w:tabs>
      <w:adjustRightInd w:val="0"/>
      <w:spacing w:line="460" w:lineRule="exact"/>
      <w:ind w:left="1200" w:hanging="480"/>
      <w:jc w:val="left"/>
      <w:textAlignment w:val="baseline"/>
      <w:outlineLvl w:val="6"/>
    </w:pPr>
    <w:rPr>
      <w:kern w:val="0"/>
      <w:sz w:val="24"/>
      <w:szCs w:val="20"/>
    </w:rPr>
  </w:style>
  <w:style w:type="paragraph" w:styleId="10">
    <w:name w:val="heading 8"/>
    <w:basedOn w:val="1"/>
    <w:next w:val="1"/>
    <w:qFormat/>
    <w:uiPriority w:val="0"/>
    <w:pPr>
      <w:numPr>
        <w:ilvl w:val="7"/>
        <w:numId w:val="1"/>
      </w:numPr>
      <w:adjustRightInd w:val="0"/>
      <w:spacing w:line="460" w:lineRule="exact"/>
      <w:jc w:val="left"/>
      <w:textAlignment w:val="baseline"/>
      <w:outlineLvl w:val="7"/>
    </w:pPr>
    <w:rPr>
      <w:kern w:val="0"/>
      <w:sz w:val="24"/>
      <w:szCs w:val="20"/>
    </w:rPr>
  </w:style>
  <w:style w:type="paragraph" w:styleId="11">
    <w:name w:val="heading 9"/>
    <w:basedOn w:val="1"/>
    <w:next w:val="1"/>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widowControl/>
      <w:tabs>
        <w:tab w:val="left" w:pos="9000"/>
        <w:tab w:val="right" w:pos="9360"/>
      </w:tabs>
      <w:suppressAutoHyphens/>
    </w:pPr>
    <w:rPr>
      <w:rFonts w:eastAsia="Times New Roman"/>
      <w:lang w:eastAsia="en-US"/>
    </w:rPr>
  </w:style>
  <w:style w:type="paragraph" w:styleId="12">
    <w:name w:val="Normal Indent"/>
    <w:basedOn w:val="1"/>
    <w:qFormat/>
    <w:uiPriority w:val="0"/>
    <w:pPr>
      <w:adjustRightInd w:val="0"/>
      <w:spacing w:line="460" w:lineRule="exact"/>
      <w:ind w:left="360" w:firstLine="420"/>
      <w:jc w:val="left"/>
      <w:textAlignment w:val="baseline"/>
    </w:pPr>
    <w:rPr>
      <w:rFonts w:ascii="宋体" w:hAnsi="宋体"/>
      <w:kern w:val="0"/>
      <w:sz w:val="24"/>
      <w:szCs w:val="20"/>
    </w:rPr>
  </w:style>
  <w:style w:type="paragraph" w:styleId="13">
    <w:name w:val="Document Map"/>
    <w:basedOn w:val="1"/>
    <w:semiHidden/>
    <w:qFormat/>
    <w:uiPriority w:val="0"/>
    <w:pPr>
      <w:shd w:val="clear" w:color="auto" w:fill="000080"/>
    </w:pPr>
  </w:style>
  <w:style w:type="paragraph" w:styleId="14">
    <w:name w:val="annotation text"/>
    <w:basedOn w:val="1"/>
    <w:semiHidden/>
    <w:unhideWhenUsed/>
    <w:qFormat/>
    <w:uiPriority w:val="0"/>
    <w:pPr>
      <w:jc w:val="left"/>
    </w:pPr>
  </w:style>
  <w:style w:type="paragraph" w:styleId="15">
    <w:name w:val="Body Text"/>
    <w:basedOn w:val="1"/>
    <w:qFormat/>
    <w:uiPriority w:val="0"/>
    <w:pPr>
      <w:jc w:val="center"/>
    </w:pPr>
    <w:rPr>
      <w:b/>
      <w:bCs/>
      <w:sz w:val="72"/>
    </w:rPr>
  </w:style>
  <w:style w:type="paragraph" w:styleId="16">
    <w:name w:val="Body Text Indent"/>
    <w:basedOn w:val="1"/>
    <w:qFormat/>
    <w:uiPriority w:val="0"/>
    <w:pPr>
      <w:spacing w:before="100" w:after="100"/>
      <w:ind w:firstLine="240"/>
    </w:pPr>
    <w:rPr>
      <w:sz w:val="24"/>
    </w:rPr>
  </w:style>
  <w:style w:type="paragraph" w:styleId="17">
    <w:name w:val="Plain Text"/>
    <w:basedOn w:val="1"/>
    <w:qFormat/>
    <w:uiPriority w:val="0"/>
    <w:rPr>
      <w:rFonts w:ascii="宋体" w:hAnsi="Courier New"/>
      <w:szCs w:val="20"/>
    </w:rPr>
  </w:style>
  <w:style w:type="paragraph" w:styleId="18">
    <w:name w:val="Date"/>
    <w:basedOn w:val="1"/>
    <w:next w:val="1"/>
    <w:qFormat/>
    <w:uiPriority w:val="0"/>
    <w:pPr>
      <w:adjustRightInd w:val="0"/>
      <w:spacing w:line="460" w:lineRule="exact"/>
      <w:ind w:left="360" w:firstLine="480"/>
      <w:textAlignment w:val="baseline"/>
    </w:pPr>
    <w:rPr>
      <w:rFonts w:ascii="仿宋体" w:hAnsi="宋体" w:eastAsia="仿宋体"/>
      <w:kern w:val="0"/>
      <w:sz w:val="28"/>
      <w:szCs w:val="20"/>
    </w:rPr>
  </w:style>
  <w:style w:type="paragraph" w:styleId="19">
    <w:name w:val="Body Text Indent 2"/>
    <w:basedOn w:val="1"/>
    <w:qFormat/>
    <w:uiPriority w:val="0"/>
    <w:pPr>
      <w:spacing w:before="100" w:after="100" w:line="440" w:lineRule="exact"/>
      <w:ind w:firstLine="540" w:firstLineChars="225"/>
    </w:pPr>
    <w:rPr>
      <w:sz w:val="24"/>
    </w:rPr>
  </w:style>
  <w:style w:type="paragraph" w:styleId="20">
    <w:name w:val="Balloon Text"/>
    <w:basedOn w:val="1"/>
    <w:link w:val="39"/>
    <w:qFormat/>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semiHidden/>
    <w:unhideWhenUsed/>
    <w:qFormat/>
    <w:uiPriority w:val="0"/>
  </w:style>
  <w:style w:type="paragraph" w:styleId="24">
    <w:name w:val="toc 2"/>
    <w:basedOn w:val="1"/>
    <w:next w:val="1"/>
    <w:qFormat/>
    <w:uiPriority w:val="39"/>
    <w:pPr>
      <w:ind w:left="420" w:left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page number"/>
    <w:basedOn w:val="27"/>
    <w:qFormat/>
    <w:uiPriority w:val="0"/>
  </w:style>
  <w:style w:type="character" w:styleId="29">
    <w:name w:val="Hyperlink"/>
    <w:qFormat/>
    <w:uiPriority w:val="99"/>
    <w:rPr>
      <w:color w:val="0000FF"/>
      <w:u w:val="single"/>
    </w:rPr>
  </w:style>
  <w:style w:type="paragraph" w:customStyle="1" w:styleId="30">
    <w:name w:val="正文报告"/>
    <w:basedOn w:val="1"/>
    <w:qFormat/>
    <w:uiPriority w:val="0"/>
    <w:pPr>
      <w:tabs>
        <w:tab w:val="left" w:pos="510"/>
      </w:tabs>
      <w:adjustRightInd w:val="0"/>
      <w:spacing w:line="460" w:lineRule="exact"/>
      <w:ind w:firstLine="482"/>
      <w:textAlignment w:val="baseline"/>
    </w:pPr>
    <w:rPr>
      <w:rFonts w:ascii="宋体" w:hAnsi="宋体"/>
      <w:kern w:val="0"/>
      <w:sz w:val="24"/>
      <w:szCs w:val="20"/>
    </w:rPr>
  </w:style>
  <w:style w:type="paragraph" w:customStyle="1" w:styleId="31">
    <w:name w:val="1"/>
    <w:basedOn w:val="1"/>
    <w:qFormat/>
    <w:uiPriority w:val="0"/>
  </w:style>
  <w:style w:type="paragraph" w:customStyle="1" w:styleId="32">
    <w:name w:val="Char Char Char Char Char Char Char"/>
    <w:basedOn w:val="1"/>
    <w:qFormat/>
    <w:uiPriority w:val="0"/>
    <w:rPr>
      <w:rFonts w:ascii="Arial" w:hAnsi="Arial"/>
      <w:sz w:val="24"/>
    </w:rPr>
  </w:style>
  <w:style w:type="paragraph" w:customStyle="1" w:styleId="33">
    <w:name w:val="表格"/>
    <w:basedOn w:val="1"/>
    <w:qFormat/>
    <w:uiPriority w:val="0"/>
    <w:pPr>
      <w:keepNext/>
      <w:snapToGrid w:val="0"/>
      <w:spacing w:before="60" w:after="60"/>
      <w:jc w:val="center"/>
    </w:pPr>
    <w:rPr>
      <w:rFonts w:eastAsia="仿宋_GB2312"/>
      <w:szCs w:val="20"/>
    </w:rPr>
  </w:style>
  <w:style w:type="paragraph" w:customStyle="1" w:styleId="34">
    <w:name w:val="Char Char Char Char Char Char Char Char Char Char"/>
    <w:basedOn w:val="1"/>
    <w:qFormat/>
    <w:uiPriority w:val="0"/>
  </w:style>
  <w:style w:type="paragraph" w:customStyle="1" w:styleId="35">
    <w:name w:val="样式1"/>
    <w:basedOn w:val="1"/>
    <w:qFormat/>
    <w:uiPriority w:val="0"/>
    <w:pPr>
      <w:adjustRightInd w:val="0"/>
      <w:spacing w:line="420" w:lineRule="auto"/>
      <w:jc w:val="center"/>
      <w:textAlignment w:val="baseline"/>
    </w:pPr>
    <w:rPr>
      <w:rFonts w:ascii="宋体"/>
      <w:kern w:val="0"/>
      <w:sz w:val="24"/>
      <w:szCs w:val="20"/>
    </w:rPr>
  </w:style>
  <w:style w:type="paragraph" w:customStyle="1" w:styleId="36">
    <w:name w:val="图中文字"/>
    <w:basedOn w:val="1"/>
    <w:qFormat/>
    <w:uiPriority w:val="0"/>
    <w:pPr>
      <w:autoSpaceDE w:val="0"/>
      <w:autoSpaceDN w:val="0"/>
      <w:adjustRightInd w:val="0"/>
      <w:spacing w:line="320" w:lineRule="exact"/>
      <w:jc w:val="center"/>
    </w:pPr>
    <w:rPr>
      <w:rFonts w:ascii="宋体"/>
      <w:iCs/>
      <w:kern w:val="0"/>
      <w:szCs w:val="20"/>
    </w:rPr>
  </w:style>
  <w:style w:type="paragraph" w:customStyle="1" w:styleId="37">
    <w:name w:val="A"/>
    <w:basedOn w:val="1"/>
    <w:qFormat/>
    <w:uiPriority w:val="0"/>
    <w:pPr>
      <w:adjustRightInd w:val="0"/>
      <w:spacing w:line="480" w:lineRule="atLeast"/>
      <w:jc w:val="center"/>
      <w:textAlignment w:val="baseline"/>
    </w:pPr>
    <w:rPr>
      <w:rFonts w:ascii="宋体"/>
      <w:kern w:val="0"/>
      <w:sz w:val="32"/>
      <w:szCs w:val="20"/>
    </w:rPr>
  </w:style>
  <w:style w:type="character" w:customStyle="1" w:styleId="38">
    <w:name w:val="标题 2 Char"/>
    <w:link w:val="4"/>
    <w:qFormat/>
    <w:uiPriority w:val="0"/>
    <w:rPr>
      <w:b/>
      <w:sz w:val="28"/>
      <w:szCs w:val="28"/>
    </w:rPr>
  </w:style>
  <w:style w:type="character" w:customStyle="1" w:styleId="39">
    <w:name w:val="批注框文本 Char"/>
    <w:link w:val="20"/>
    <w:qFormat/>
    <w:uiPriority w:val="0"/>
    <w:rPr>
      <w:kern w:val="2"/>
      <w:sz w:val="18"/>
      <w:szCs w:val="18"/>
    </w:rPr>
  </w:style>
  <w:style w:type="paragraph" w:styleId="40">
    <w:name w:val="List Paragraph"/>
    <w:basedOn w:val="1"/>
    <w:qFormat/>
    <w:uiPriority w:val="0"/>
    <w:pPr>
      <w:ind w:firstLine="420" w:firstLineChars="200"/>
    </w:pPr>
  </w:style>
  <w:style w:type="paragraph" w:customStyle="1" w:styleId="41">
    <w:name w:val="Normal_3"/>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42">
    <w:name w:val="Heading 2_0"/>
    <w:basedOn w:val="41"/>
    <w:next w:val="41"/>
    <w:link w:val="43"/>
    <w:qFormat/>
    <w:uiPriority w:val="0"/>
    <w:pPr>
      <w:keepNext/>
      <w:keepLines/>
      <w:spacing w:before="260" w:after="260" w:line="416" w:lineRule="atLeast"/>
      <w:outlineLvl w:val="1"/>
    </w:pPr>
    <w:rPr>
      <w:rFonts w:ascii="宋体" w:hAnsi="Arial"/>
      <w:b/>
      <w:snapToGrid w:val="0"/>
      <w:sz w:val="28"/>
    </w:rPr>
  </w:style>
  <w:style w:type="character" w:customStyle="1" w:styleId="43">
    <w:name w:val="标题 2 Char_0"/>
    <w:link w:val="42"/>
    <w:qFormat/>
    <w:uiPriority w:val="0"/>
    <w:rPr>
      <w:rFonts w:ascii="宋体" w:hAnsi="Arial"/>
      <w:b/>
      <w:snapToGrid w:val="0"/>
      <w:sz w:val="28"/>
    </w:rPr>
  </w:style>
  <w:style w:type="paragraph" w:customStyle="1" w:styleId="44">
    <w:name w:val="Default"/>
    <w:qFormat/>
    <w:uiPriority w:val="0"/>
    <w:pPr>
      <w:widowControl w:val="0"/>
      <w:autoSpaceDE w:val="0"/>
      <w:autoSpaceDN w:val="0"/>
      <w:adjustRightInd w:val="0"/>
    </w:pPr>
    <w:rPr>
      <w:rFonts w:ascii="宋体" w:hAnsi="Times New Roman" w:eastAsia="宋体" w:cs="Times New Roman"/>
      <w:color w:val="000000"/>
      <w:sz w:val="24"/>
      <w:szCs w:val="22"/>
      <w:lang w:val="en-US" w:eastAsia="zh-CN" w:bidi="ar-SA"/>
    </w:rPr>
  </w:style>
  <w:style w:type="paragraph" w:customStyle="1" w:styleId="45">
    <w:name w:val="P85"/>
    <w:basedOn w:val="1"/>
    <w:qFormat/>
    <w:uiPriority w:val="0"/>
    <w:pPr>
      <w:jc w:val="center"/>
    </w:pPr>
    <w:rPr>
      <w:rFonts w:ascii="宋体" w:hAnsi="宋体" w:cs="宋体"/>
      <w:b/>
      <w:kern w:val="0"/>
      <w:sz w:val="45"/>
      <w:szCs w:val="45"/>
    </w:rPr>
  </w:style>
  <w:style w:type="paragraph" w:customStyle="1" w:styleId="46">
    <w:name w:val="P353"/>
    <w:basedOn w:val="1"/>
    <w:qFormat/>
    <w:uiPriority w:val="0"/>
    <w:pPr>
      <w:spacing w:before="280" w:after="280" w:line="360" w:lineRule="auto"/>
      <w:jc w:val="center"/>
    </w:pPr>
    <w:rPr>
      <w:kern w:val="0"/>
      <w:szCs w:val="21"/>
    </w:rPr>
  </w:style>
  <w:style w:type="paragraph" w:customStyle="1" w:styleId="47">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38</Pages>
  <Words>17129</Words>
  <Characters>18794</Characters>
  <Lines>134</Lines>
  <Paragraphs>37</Paragraphs>
  <TotalTime>18</TotalTime>
  <ScaleCrop>false</ScaleCrop>
  <LinksUpToDate>false</LinksUpToDate>
  <CharactersWithSpaces>19093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2024-10-12T05:46:00Z</dcterms:created>
  <dc:creator>a</dc:creator>
  <cp:lastModifiedBy>NTKO</cp:lastModifiedBy>
  <cp:lastPrinted>2026-06-22T07:46:00Z</cp:lastPrinted>
  <dcterms:modified xsi:type="dcterms:W3CDTF">2026-07-13T01:36:55Z</dcterms:modified>
  <dc:title>浙江浙能嘉兴发电有限公司</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11A04ECAA8454C52A48BC9E122D4CAB0_13</vt:lpwstr>
  </property>
  <property fmtid="{D5CDD505-2E9C-101B-9397-08002B2CF9AE}" pid="4" name="KSOTemplateDocerSaveRecord">
    <vt:lpwstr>eyJoZGlkIjoiODAzNzFmNmVkMzZjNTliNzZlMzVlZDVhOWM2MWI5ZDQiLCJ1c2VySWQiOiIxNTcwMjg4MTAxIn0=</vt:lpwstr>
  </property>
</Properties>
</file>