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696230">
      <w:pPr>
        <w:snapToGrid w:val="0"/>
        <w:spacing w:after="100" w:line="360" w:lineRule="auto"/>
        <w:jc w:val="center"/>
        <w:rPr>
          <w:rFonts w:ascii="Arial" w:hAnsi="Arial" w:cs="Arial"/>
          <w:b/>
          <w:bCs/>
          <w:color w:val="000000"/>
          <w:sz w:val="44"/>
        </w:rPr>
      </w:pPr>
    </w:p>
    <w:p w14:paraId="7DE8B229">
      <w:pPr>
        <w:snapToGrid w:val="0"/>
        <w:spacing w:after="100" w:line="360" w:lineRule="auto"/>
        <w:jc w:val="center"/>
        <w:rPr>
          <w:rFonts w:ascii="Arial" w:hAnsi="Arial" w:cs="Arial"/>
          <w:b/>
          <w:bCs/>
          <w:color w:val="000000"/>
          <w:sz w:val="44"/>
        </w:rPr>
      </w:pPr>
    </w:p>
    <w:p w14:paraId="6307D04B">
      <w:pPr>
        <w:spacing w:line="360" w:lineRule="auto"/>
        <w:jc w:val="center"/>
        <w:rPr>
          <w:rFonts w:ascii="Arial" w:hAnsi="Arial" w:cs="Arial"/>
          <w:b/>
          <w:sz w:val="52"/>
          <w:szCs w:val="52"/>
        </w:rPr>
      </w:pPr>
      <w:r>
        <w:rPr>
          <w:rFonts w:hint="eastAsia"/>
          <w:b/>
          <w:sz w:val="48"/>
          <w:szCs w:val="48"/>
        </w:rPr>
        <w:t>浙能</w:t>
      </w:r>
      <w:r>
        <w:rPr>
          <w:rFonts w:hint="eastAsia" w:asciiTheme="minorEastAsia" w:hAnsiTheme="minorEastAsia" w:eastAsiaTheme="minorEastAsia"/>
          <w:b/>
          <w:sz w:val="48"/>
          <w:szCs w:val="48"/>
        </w:rPr>
        <w:t>嘉兴电厂四期扩建项目10号机组</w:t>
      </w:r>
    </w:p>
    <w:p w14:paraId="3DCEC1C3">
      <w:pPr>
        <w:spacing w:line="360" w:lineRule="auto"/>
        <w:jc w:val="center"/>
        <w:rPr>
          <w:rFonts w:ascii="Arial" w:hAnsi="Arial" w:cs="Arial"/>
          <w:b/>
          <w:bCs/>
          <w:sz w:val="48"/>
          <w:szCs w:val="44"/>
        </w:rPr>
      </w:pPr>
    </w:p>
    <w:p w14:paraId="3FEC1AA0">
      <w:pPr>
        <w:spacing w:line="360" w:lineRule="auto"/>
        <w:jc w:val="center"/>
        <w:rPr>
          <w:rFonts w:ascii="Arial" w:hAnsi="Arial" w:cs="Arial"/>
          <w:b/>
          <w:bCs/>
          <w:sz w:val="48"/>
          <w:szCs w:val="44"/>
        </w:rPr>
      </w:pPr>
    </w:p>
    <w:p w14:paraId="5FC63C39">
      <w:pPr>
        <w:autoSpaceDE w:val="0"/>
        <w:autoSpaceDN w:val="0"/>
        <w:spacing w:line="360" w:lineRule="auto"/>
        <w:jc w:val="center"/>
        <w:rPr>
          <w:b/>
          <w:kern w:val="2"/>
          <w:sz w:val="48"/>
          <w:szCs w:val="48"/>
        </w:rPr>
      </w:pPr>
      <w:r>
        <w:rPr>
          <w:b/>
          <w:kern w:val="2"/>
          <w:sz w:val="48"/>
          <w:szCs w:val="48"/>
        </w:rPr>
        <w:t>集控室</w:t>
      </w:r>
      <w:r>
        <w:rPr>
          <w:rFonts w:hint="eastAsia"/>
          <w:b/>
          <w:kern w:val="2"/>
          <w:sz w:val="48"/>
          <w:szCs w:val="48"/>
        </w:rPr>
        <w:t>LED大屏显示系统</w:t>
      </w:r>
    </w:p>
    <w:p w14:paraId="53013737">
      <w:pPr>
        <w:tabs>
          <w:tab w:val="center" w:pos="4337"/>
          <w:tab w:val="right" w:pos="8674"/>
        </w:tabs>
        <w:spacing w:line="360" w:lineRule="auto"/>
        <w:jc w:val="center"/>
        <w:rPr>
          <w:rFonts w:hint="eastAsia" w:asciiTheme="minorEastAsia" w:hAnsiTheme="minorEastAsia" w:eastAsiaTheme="minorEastAsia"/>
          <w:b/>
          <w:sz w:val="48"/>
          <w:szCs w:val="48"/>
        </w:rPr>
      </w:pPr>
      <w:r>
        <w:rPr>
          <w:rFonts w:hint="eastAsia" w:asciiTheme="minorEastAsia" w:hAnsiTheme="minorEastAsia" w:eastAsiaTheme="minorEastAsia"/>
          <w:b/>
          <w:sz w:val="48"/>
          <w:szCs w:val="48"/>
        </w:rPr>
        <w:t>招标文件</w:t>
      </w:r>
    </w:p>
    <w:p w14:paraId="70B01105">
      <w:pPr>
        <w:spacing w:line="360" w:lineRule="auto"/>
        <w:rPr>
          <w:rFonts w:hint="eastAsia" w:asciiTheme="minorEastAsia" w:hAnsiTheme="minorEastAsia" w:eastAsiaTheme="minorEastAsia"/>
          <w:sz w:val="32"/>
          <w:szCs w:val="32"/>
        </w:rPr>
      </w:pPr>
    </w:p>
    <w:p w14:paraId="2D89D711">
      <w:pPr>
        <w:snapToGrid w:val="0"/>
        <w:spacing w:after="100" w:line="360" w:lineRule="auto"/>
        <w:jc w:val="center"/>
        <w:rPr>
          <w:rFonts w:ascii="Arial" w:hAnsi="Arial" w:cs="Arial"/>
          <w:b/>
          <w:bCs/>
          <w:color w:val="000000"/>
          <w:sz w:val="44"/>
        </w:rPr>
      </w:pPr>
      <w:bookmarkStart w:id="0" w:name="_Toc286153212"/>
      <w:bookmarkStart w:id="1" w:name="_Toc215298515"/>
      <w:bookmarkStart w:id="2" w:name="_Toc215298661"/>
      <w:bookmarkStart w:id="3" w:name="_Toc215298563"/>
      <w:r>
        <w:rPr>
          <w:rFonts w:hint="eastAsia" w:asciiTheme="minorEastAsia" w:hAnsiTheme="minorEastAsia" w:eastAsiaTheme="minorEastAsia"/>
          <w:b/>
          <w:sz w:val="48"/>
          <w:szCs w:val="48"/>
        </w:rPr>
        <w:t>技术规范</w:t>
      </w:r>
      <w:bookmarkEnd w:id="0"/>
      <w:bookmarkEnd w:id="1"/>
      <w:bookmarkEnd w:id="2"/>
      <w:bookmarkEnd w:id="3"/>
      <w:r>
        <w:rPr>
          <w:rFonts w:hint="eastAsia" w:asciiTheme="minorEastAsia" w:hAnsiTheme="minorEastAsia" w:eastAsiaTheme="minorEastAsia"/>
          <w:b/>
          <w:sz w:val="48"/>
          <w:szCs w:val="48"/>
        </w:rPr>
        <w:t>书</w:t>
      </w:r>
    </w:p>
    <w:p w14:paraId="1C0C7088">
      <w:pPr>
        <w:snapToGrid w:val="0"/>
        <w:spacing w:after="100" w:line="360" w:lineRule="auto"/>
        <w:jc w:val="center"/>
        <w:rPr>
          <w:b/>
          <w:kern w:val="2"/>
          <w:sz w:val="48"/>
          <w:szCs w:val="48"/>
        </w:rPr>
      </w:pPr>
    </w:p>
    <w:p w14:paraId="2445E494">
      <w:pPr>
        <w:pStyle w:val="22"/>
        <w:spacing w:line="360" w:lineRule="auto"/>
        <w:rPr>
          <w:rFonts w:ascii="Arial" w:hAnsi="Arial" w:cs="Arial"/>
          <w:sz w:val="28"/>
          <w:szCs w:val="28"/>
        </w:rPr>
      </w:pPr>
    </w:p>
    <w:p w14:paraId="285ECD12">
      <w:pPr>
        <w:pStyle w:val="22"/>
        <w:spacing w:line="360" w:lineRule="auto"/>
        <w:rPr>
          <w:rFonts w:ascii="Arial" w:hAnsi="Arial" w:cs="Arial"/>
          <w:sz w:val="28"/>
          <w:szCs w:val="28"/>
        </w:rPr>
      </w:pPr>
    </w:p>
    <w:p w14:paraId="57EDF412">
      <w:pPr>
        <w:pStyle w:val="22"/>
        <w:spacing w:line="360" w:lineRule="auto"/>
        <w:rPr>
          <w:rFonts w:ascii="Arial" w:hAnsi="Arial" w:cs="Arial"/>
          <w:sz w:val="28"/>
          <w:szCs w:val="28"/>
        </w:rPr>
      </w:pPr>
    </w:p>
    <w:p w14:paraId="5EB929C8">
      <w:pPr>
        <w:pStyle w:val="22"/>
        <w:spacing w:line="360" w:lineRule="auto"/>
        <w:rPr>
          <w:rFonts w:ascii="Arial" w:hAnsi="Arial" w:cs="Arial"/>
          <w:sz w:val="28"/>
          <w:szCs w:val="28"/>
        </w:rPr>
      </w:pPr>
    </w:p>
    <w:p w14:paraId="0084D64C">
      <w:pPr>
        <w:pStyle w:val="24"/>
        <w:spacing w:line="360" w:lineRule="auto"/>
        <w:rPr>
          <w:rFonts w:ascii="Arial" w:hAnsi="Arial" w:cs="Arial"/>
          <w:b/>
          <w:sz w:val="30"/>
          <w:szCs w:val="30"/>
        </w:rPr>
      </w:pPr>
    </w:p>
    <w:p w14:paraId="031DBFA9">
      <w:pPr>
        <w:rPr>
          <w:rFonts w:ascii="Arial" w:hAnsi="Arial" w:cs="Arial"/>
          <w:b/>
          <w:sz w:val="30"/>
          <w:szCs w:val="30"/>
        </w:rPr>
      </w:pPr>
    </w:p>
    <w:p w14:paraId="274E63A7">
      <w:pPr>
        <w:spacing w:line="360" w:lineRule="auto"/>
        <w:jc w:val="center"/>
        <w:rPr>
          <w:rFonts w:hint="eastAsia" w:asciiTheme="minorEastAsia" w:hAnsiTheme="minorEastAsia" w:eastAsiaTheme="minorEastAsia"/>
          <w:b/>
          <w:sz w:val="32"/>
        </w:rPr>
      </w:pPr>
      <w:r>
        <w:rPr>
          <w:rFonts w:asciiTheme="minorEastAsia" w:hAnsiTheme="minorEastAsia" w:eastAsiaTheme="minorEastAsia"/>
          <w:b/>
          <w:sz w:val="32"/>
        </w:rPr>
        <w:t>2026</w:t>
      </w:r>
      <w:r>
        <w:rPr>
          <w:rFonts w:hint="eastAsia" w:asciiTheme="minorEastAsia" w:hAnsiTheme="minorEastAsia" w:eastAsiaTheme="minorEastAsia"/>
          <w:b/>
          <w:sz w:val="32"/>
        </w:rPr>
        <w:t>年</w:t>
      </w:r>
      <w:r>
        <w:rPr>
          <w:rFonts w:asciiTheme="minorEastAsia" w:hAnsiTheme="minorEastAsia" w:eastAsiaTheme="minorEastAsia"/>
          <w:b/>
          <w:sz w:val="32"/>
        </w:rPr>
        <w:t>5</w:t>
      </w:r>
      <w:r>
        <w:rPr>
          <w:rFonts w:hint="eastAsia" w:asciiTheme="minorEastAsia" w:hAnsiTheme="minorEastAsia" w:eastAsiaTheme="minorEastAsia"/>
          <w:b/>
          <w:sz w:val="32"/>
        </w:rPr>
        <w:t>月</w:t>
      </w:r>
    </w:p>
    <w:p w14:paraId="0551D7EC">
      <w:pPr>
        <w:pStyle w:val="15"/>
        <w:jc w:val="center"/>
        <w:rPr>
          <w:b/>
          <w:sz w:val="32"/>
        </w:rPr>
      </w:pPr>
    </w:p>
    <w:p w14:paraId="2FD5202F">
      <w:pPr>
        <w:jc w:val="center"/>
        <w:rPr>
          <w:rFonts w:ascii="Arial" w:hAnsi="Arial" w:cs="Arial"/>
          <w:b/>
          <w:sz w:val="30"/>
          <w:szCs w:val="30"/>
        </w:rPr>
      </w:pPr>
      <w:r>
        <w:rPr>
          <w:rFonts w:ascii="Arial" w:hAnsi="Arial" w:cs="Arial"/>
          <w:b/>
          <w:sz w:val="30"/>
          <w:szCs w:val="30"/>
        </w:rPr>
        <w:br w:type="page"/>
      </w:r>
      <w:r>
        <w:rPr>
          <w:rFonts w:ascii="Arial" w:hAnsi="Arial" w:cs="Arial"/>
          <w:b/>
          <w:sz w:val="30"/>
          <w:szCs w:val="30"/>
        </w:rPr>
        <w:t>目录</w:t>
      </w:r>
    </w:p>
    <w:p w14:paraId="1E408A0C"/>
    <w:p w14:paraId="2CFCBDD3">
      <w:pPr>
        <w:pStyle w:val="29"/>
        <w:tabs>
          <w:tab w:val="right" w:leader="dot" w:pos="9637"/>
        </w:tabs>
        <w:rPr>
          <w:b w:val="0"/>
        </w:rPr>
      </w:pPr>
      <w:r>
        <w:rPr>
          <w:rFonts w:ascii="Arial" w:hAnsi="Arial" w:cs="Arial"/>
          <w:b w:val="0"/>
        </w:rPr>
        <w:fldChar w:fldCharType="begin"/>
      </w:r>
      <w:r>
        <w:rPr>
          <w:rStyle w:val="48"/>
          <w:rFonts w:ascii="Arial" w:cs="Arial"/>
          <w:b w:val="0"/>
        </w:rPr>
        <w:instrText xml:space="preserve"> TOC \o "1-1" \h \z </w:instrText>
      </w:r>
      <w:r>
        <w:rPr>
          <w:rFonts w:ascii="Arial" w:hAnsi="Arial" w:cs="Arial"/>
          <w:b w:val="0"/>
        </w:rPr>
        <w:fldChar w:fldCharType="separate"/>
      </w:r>
      <w:r>
        <w:fldChar w:fldCharType="begin"/>
      </w:r>
      <w:r>
        <w:instrText xml:space="preserve"> HYPERLINK \l "_Toc27794" </w:instrText>
      </w:r>
      <w:r>
        <w:fldChar w:fldCharType="separate"/>
      </w:r>
      <w:r>
        <w:rPr>
          <w:rFonts w:ascii="Arial" w:hAnsi="Arial" w:cs="Arial"/>
          <w:b w:val="0"/>
          <w:szCs w:val="30"/>
        </w:rPr>
        <w:t>附件1  技术规范</w:t>
      </w:r>
      <w:r>
        <w:rPr>
          <w:b w:val="0"/>
        </w:rPr>
        <w:tab/>
      </w:r>
      <w:r>
        <w:rPr>
          <w:b w:val="0"/>
        </w:rPr>
        <w:fldChar w:fldCharType="begin"/>
      </w:r>
      <w:r>
        <w:rPr>
          <w:b w:val="0"/>
        </w:rPr>
        <w:instrText xml:space="preserve"> PAGEREF _Toc27794 </w:instrText>
      </w:r>
      <w:r>
        <w:rPr>
          <w:b w:val="0"/>
        </w:rPr>
        <w:fldChar w:fldCharType="separate"/>
      </w:r>
      <w:r>
        <w:rPr>
          <w:b w:val="0"/>
        </w:rPr>
        <w:t>1</w:t>
      </w:r>
      <w:r>
        <w:rPr>
          <w:b w:val="0"/>
        </w:rPr>
        <w:fldChar w:fldCharType="end"/>
      </w:r>
      <w:r>
        <w:rPr>
          <w:b w:val="0"/>
        </w:rPr>
        <w:fldChar w:fldCharType="end"/>
      </w:r>
    </w:p>
    <w:p w14:paraId="770B001C">
      <w:pPr>
        <w:pStyle w:val="29"/>
        <w:tabs>
          <w:tab w:val="right" w:leader="dot" w:pos="9637"/>
        </w:tabs>
        <w:rPr>
          <w:b w:val="0"/>
        </w:rPr>
      </w:pPr>
      <w:r>
        <w:fldChar w:fldCharType="begin"/>
      </w:r>
      <w:r>
        <w:instrText xml:space="preserve"> HYPERLINK \l "_Toc4627" </w:instrText>
      </w:r>
      <w:r>
        <w:fldChar w:fldCharType="separate"/>
      </w:r>
      <w:r>
        <w:rPr>
          <w:b w:val="0"/>
          <w:szCs w:val="30"/>
        </w:rPr>
        <w:t>附件2  供货范围</w:t>
      </w:r>
      <w:r>
        <w:rPr>
          <w:b w:val="0"/>
        </w:rPr>
        <w:tab/>
      </w:r>
      <w:r>
        <w:rPr>
          <w:b w:val="0"/>
        </w:rPr>
        <w:fldChar w:fldCharType="begin"/>
      </w:r>
      <w:r>
        <w:rPr>
          <w:b w:val="0"/>
        </w:rPr>
        <w:instrText xml:space="preserve"> PAGEREF _Toc4627 </w:instrText>
      </w:r>
      <w:r>
        <w:rPr>
          <w:b w:val="0"/>
        </w:rPr>
        <w:fldChar w:fldCharType="separate"/>
      </w:r>
      <w:r>
        <w:rPr>
          <w:b w:val="0"/>
        </w:rPr>
        <w:t>15</w:t>
      </w:r>
      <w:r>
        <w:rPr>
          <w:b w:val="0"/>
        </w:rPr>
        <w:fldChar w:fldCharType="end"/>
      </w:r>
      <w:r>
        <w:rPr>
          <w:b w:val="0"/>
        </w:rPr>
        <w:fldChar w:fldCharType="end"/>
      </w:r>
    </w:p>
    <w:p w14:paraId="7C101A0E">
      <w:pPr>
        <w:pStyle w:val="29"/>
        <w:tabs>
          <w:tab w:val="right" w:leader="dot" w:pos="9637"/>
        </w:tabs>
        <w:rPr>
          <w:b w:val="0"/>
        </w:rPr>
      </w:pPr>
      <w:r>
        <w:fldChar w:fldCharType="begin"/>
      </w:r>
      <w:r>
        <w:instrText xml:space="preserve"> HYPERLINK \l "_Toc31033" </w:instrText>
      </w:r>
      <w:r>
        <w:fldChar w:fldCharType="separate"/>
      </w:r>
      <w:r>
        <w:rPr>
          <w:b w:val="0"/>
          <w:szCs w:val="30"/>
        </w:rPr>
        <w:t>附件3   技术</w:t>
      </w:r>
      <w:r>
        <w:rPr>
          <w:rFonts w:hint="eastAsia"/>
          <w:b w:val="0"/>
          <w:szCs w:val="30"/>
        </w:rPr>
        <w:t>资料</w:t>
      </w:r>
      <w:r>
        <w:rPr>
          <w:b w:val="0"/>
        </w:rPr>
        <w:tab/>
      </w:r>
      <w:r>
        <w:rPr>
          <w:b w:val="0"/>
        </w:rPr>
        <w:fldChar w:fldCharType="begin"/>
      </w:r>
      <w:r>
        <w:rPr>
          <w:b w:val="0"/>
        </w:rPr>
        <w:instrText xml:space="preserve"> PAGEREF _Toc31033 </w:instrText>
      </w:r>
      <w:r>
        <w:rPr>
          <w:b w:val="0"/>
        </w:rPr>
        <w:fldChar w:fldCharType="separate"/>
      </w:r>
      <w:r>
        <w:rPr>
          <w:b w:val="0"/>
        </w:rPr>
        <w:t>18</w:t>
      </w:r>
      <w:r>
        <w:rPr>
          <w:b w:val="0"/>
        </w:rPr>
        <w:fldChar w:fldCharType="end"/>
      </w:r>
      <w:r>
        <w:rPr>
          <w:b w:val="0"/>
        </w:rPr>
        <w:fldChar w:fldCharType="end"/>
      </w:r>
    </w:p>
    <w:p w14:paraId="10C498A1">
      <w:pPr>
        <w:pStyle w:val="29"/>
        <w:tabs>
          <w:tab w:val="right" w:leader="dot" w:pos="9637"/>
        </w:tabs>
        <w:rPr>
          <w:b w:val="0"/>
        </w:rPr>
      </w:pPr>
      <w:r>
        <w:fldChar w:fldCharType="begin"/>
      </w:r>
      <w:r>
        <w:instrText xml:space="preserve"> HYPERLINK \l "_Toc18427" </w:instrText>
      </w:r>
      <w:r>
        <w:fldChar w:fldCharType="separate"/>
      </w:r>
      <w:r>
        <w:rPr>
          <w:b w:val="0"/>
          <w:szCs w:val="30"/>
        </w:rPr>
        <w:t>附件4  设备交货进度</w:t>
      </w:r>
      <w:r>
        <w:rPr>
          <w:b w:val="0"/>
        </w:rPr>
        <w:tab/>
      </w:r>
      <w:r>
        <w:rPr>
          <w:b w:val="0"/>
        </w:rPr>
        <w:fldChar w:fldCharType="begin"/>
      </w:r>
      <w:r>
        <w:rPr>
          <w:b w:val="0"/>
        </w:rPr>
        <w:instrText xml:space="preserve"> PAGEREF _Toc18427 </w:instrText>
      </w:r>
      <w:r>
        <w:rPr>
          <w:b w:val="0"/>
        </w:rPr>
        <w:fldChar w:fldCharType="separate"/>
      </w:r>
      <w:r>
        <w:rPr>
          <w:b w:val="0"/>
        </w:rPr>
        <w:t>20</w:t>
      </w:r>
      <w:r>
        <w:rPr>
          <w:b w:val="0"/>
        </w:rPr>
        <w:fldChar w:fldCharType="end"/>
      </w:r>
      <w:r>
        <w:rPr>
          <w:b w:val="0"/>
        </w:rPr>
        <w:fldChar w:fldCharType="end"/>
      </w:r>
    </w:p>
    <w:p w14:paraId="6120109C">
      <w:pPr>
        <w:pStyle w:val="29"/>
        <w:tabs>
          <w:tab w:val="right" w:leader="dot" w:pos="9637"/>
        </w:tabs>
        <w:rPr>
          <w:b w:val="0"/>
        </w:rPr>
      </w:pPr>
      <w:r>
        <w:fldChar w:fldCharType="begin"/>
      </w:r>
      <w:r>
        <w:instrText xml:space="preserve"> HYPERLINK \l "_Toc28039" </w:instrText>
      </w:r>
      <w:r>
        <w:fldChar w:fldCharType="separate"/>
      </w:r>
      <w:r>
        <w:rPr>
          <w:b w:val="0"/>
          <w:szCs w:val="30"/>
        </w:rPr>
        <w:t xml:space="preserve">附件5  </w:t>
      </w:r>
      <w:r>
        <w:rPr>
          <w:rFonts w:hint="eastAsia"/>
          <w:b w:val="0"/>
          <w:szCs w:val="30"/>
        </w:rPr>
        <w:t>验收</w:t>
      </w:r>
      <w:r>
        <w:rPr>
          <w:b w:val="0"/>
          <w:szCs w:val="30"/>
        </w:rPr>
        <w:t>和质量保证</w:t>
      </w:r>
      <w:r>
        <w:rPr>
          <w:b w:val="0"/>
        </w:rPr>
        <w:tab/>
      </w:r>
      <w:r>
        <w:rPr>
          <w:b w:val="0"/>
        </w:rPr>
        <w:fldChar w:fldCharType="begin"/>
      </w:r>
      <w:r>
        <w:rPr>
          <w:b w:val="0"/>
        </w:rPr>
        <w:instrText xml:space="preserve"> PAGEREF _Toc28039 </w:instrText>
      </w:r>
      <w:r>
        <w:rPr>
          <w:b w:val="0"/>
        </w:rPr>
        <w:fldChar w:fldCharType="separate"/>
      </w:r>
      <w:r>
        <w:rPr>
          <w:b w:val="0"/>
        </w:rPr>
        <w:t>21</w:t>
      </w:r>
      <w:r>
        <w:rPr>
          <w:b w:val="0"/>
        </w:rPr>
        <w:fldChar w:fldCharType="end"/>
      </w:r>
      <w:r>
        <w:rPr>
          <w:b w:val="0"/>
        </w:rPr>
        <w:fldChar w:fldCharType="end"/>
      </w:r>
    </w:p>
    <w:p w14:paraId="262A0C63">
      <w:pPr>
        <w:pStyle w:val="29"/>
        <w:tabs>
          <w:tab w:val="right" w:leader="dot" w:pos="9637"/>
        </w:tabs>
        <w:rPr>
          <w:b w:val="0"/>
        </w:rPr>
      </w:pPr>
      <w:r>
        <w:fldChar w:fldCharType="begin"/>
      </w:r>
      <w:r>
        <w:instrText xml:space="preserve"> HYPERLINK \l "_Toc11293" </w:instrText>
      </w:r>
      <w:r>
        <w:fldChar w:fldCharType="separate"/>
      </w:r>
      <w:r>
        <w:rPr>
          <w:b w:val="0"/>
          <w:szCs w:val="30"/>
        </w:rPr>
        <w:t>附件6  技术服务和设计联络</w:t>
      </w:r>
      <w:r>
        <w:rPr>
          <w:b w:val="0"/>
        </w:rPr>
        <w:tab/>
      </w:r>
      <w:r>
        <w:rPr>
          <w:b w:val="0"/>
        </w:rPr>
        <w:fldChar w:fldCharType="begin"/>
      </w:r>
      <w:r>
        <w:rPr>
          <w:b w:val="0"/>
        </w:rPr>
        <w:instrText xml:space="preserve"> PAGEREF _Toc11293 </w:instrText>
      </w:r>
      <w:r>
        <w:rPr>
          <w:b w:val="0"/>
        </w:rPr>
        <w:fldChar w:fldCharType="separate"/>
      </w:r>
      <w:r>
        <w:rPr>
          <w:b w:val="0"/>
        </w:rPr>
        <w:t>23</w:t>
      </w:r>
      <w:r>
        <w:rPr>
          <w:b w:val="0"/>
        </w:rPr>
        <w:fldChar w:fldCharType="end"/>
      </w:r>
      <w:r>
        <w:rPr>
          <w:b w:val="0"/>
        </w:rPr>
        <w:fldChar w:fldCharType="end"/>
      </w:r>
    </w:p>
    <w:p w14:paraId="3629F208">
      <w:pPr>
        <w:pStyle w:val="29"/>
        <w:tabs>
          <w:tab w:val="right" w:leader="dot" w:pos="9637"/>
        </w:tabs>
        <w:rPr>
          <w:b w:val="0"/>
        </w:rPr>
      </w:pPr>
      <w:r>
        <w:fldChar w:fldCharType="begin"/>
      </w:r>
      <w:r>
        <w:instrText xml:space="preserve"> HYPERLINK \l "_Toc29849" </w:instrText>
      </w:r>
      <w:r>
        <w:fldChar w:fldCharType="separate"/>
      </w:r>
      <w:r>
        <w:rPr>
          <w:b w:val="0"/>
          <w:szCs w:val="30"/>
        </w:rPr>
        <w:t>附件7  分包与外购</w:t>
      </w:r>
      <w:r>
        <w:rPr>
          <w:b w:val="0"/>
        </w:rPr>
        <w:tab/>
      </w:r>
      <w:r>
        <w:rPr>
          <w:b w:val="0"/>
        </w:rPr>
        <w:fldChar w:fldCharType="begin"/>
      </w:r>
      <w:r>
        <w:rPr>
          <w:b w:val="0"/>
        </w:rPr>
        <w:instrText xml:space="preserve"> PAGEREF _Toc29849 </w:instrText>
      </w:r>
      <w:r>
        <w:rPr>
          <w:b w:val="0"/>
        </w:rPr>
        <w:fldChar w:fldCharType="separate"/>
      </w:r>
      <w:r>
        <w:rPr>
          <w:b w:val="0"/>
        </w:rPr>
        <w:t>26</w:t>
      </w:r>
      <w:r>
        <w:rPr>
          <w:b w:val="0"/>
        </w:rPr>
        <w:fldChar w:fldCharType="end"/>
      </w:r>
      <w:r>
        <w:rPr>
          <w:b w:val="0"/>
        </w:rPr>
        <w:fldChar w:fldCharType="end"/>
      </w:r>
    </w:p>
    <w:p w14:paraId="0236DC00">
      <w:pPr>
        <w:pStyle w:val="29"/>
        <w:tabs>
          <w:tab w:val="right" w:leader="dot" w:pos="9637"/>
        </w:tabs>
        <w:rPr>
          <w:b w:val="0"/>
        </w:rPr>
      </w:pPr>
      <w:r>
        <w:fldChar w:fldCharType="begin"/>
      </w:r>
      <w:r>
        <w:instrText xml:space="preserve"> HYPERLINK \l "_Toc6301" </w:instrText>
      </w:r>
      <w:r>
        <w:fldChar w:fldCharType="separate"/>
      </w:r>
      <w:r>
        <w:rPr>
          <w:b w:val="0"/>
          <w:szCs w:val="30"/>
        </w:rPr>
        <w:t>附件8  运行维护手册</w:t>
      </w:r>
      <w:r>
        <w:rPr>
          <w:b w:val="0"/>
        </w:rPr>
        <w:tab/>
      </w:r>
      <w:r>
        <w:rPr>
          <w:b w:val="0"/>
        </w:rPr>
        <w:fldChar w:fldCharType="begin"/>
      </w:r>
      <w:r>
        <w:rPr>
          <w:b w:val="0"/>
        </w:rPr>
        <w:instrText xml:space="preserve"> PAGEREF _Toc6301 </w:instrText>
      </w:r>
      <w:r>
        <w:rPr>
          <w:b w:val="0"/>
        </w:rPr>
        <w:fldChar w:fldCharType="separate"/>
      </w:r>
      <w:r>
        <w:rPr>
          <w:b w:val="0"/>
        </w:rPr>
        <w:t>27</w:t>
      </w:r>
      <w:r>
        <w:rPr>
          <w:b w:val="0"/>
        </w:rPr>
        <w:fldChar w:fldCharType="end"/>
      </w:r>
      <w:r>
        <w:rPr>
          <w:b w:val="0"/>
        </w:rPr>
        <w:fldChar w:fldCharType="end"/>
      </w:r>
    </w:p>
    <w:p w14:paraId="0DA29D3B">
      <w:pPr>
        <w:pStyle w:val="29"/>
        <w:tabs>
          <w:tab w:val="right" w:leader="dot" w:pos="9637"/>
        </w:tabs>
        <w:rPr>
          <w:b w:val="0"/>
        </w:rPr>
      </w:pPr>
      <w:r>
        <w:fldChar w:fldCharType="begin"/>
      </w:r>
      <w:r>
        <w:instrText xml:space="preserve"> HYPERLINK \l "_Toc21908" </w:instrText>
      </w:r>
      <w:r>
        <w:fldChar w:fldCharType="separate"/>
      </w:r>
      <w:r>
        <w:rPr>
          <w:b w:val="0"/>
          <w:szCs w:val="30"/>
        </w:rPr>
        <w:t>附件9  大（部）件情况</w:t>
      </w:r>
      <w:r>
        <w:rPr>
          <w:b w:val="0"/>
        </w:rPr>
        <w:tab/>
      </w:r>
      <w:r>
        <w:rPr>
          <w:b w:val="0"/>
        </w:rPr>
        <w:fldChar w:fldCharType="begin"/>
      </w:r>
      <w:r>
        <w:rPr>
          <w:b w:val="0"/>
        </w:rPr>
        <w:instrText xml:space="preserve"> PAGEREF _Toc21908 </w:instrText>
      </w:r>
      <w:r>
        <w:rPr>
          <w:b w:val="0"/>
        </w:rPr>
        <w:fldChar w:fldCharType="separate"/>
      </w:r>
      <w:r>
        <w:rPr>
          <w:b w:val="0"/>
        </w:rPr>
        <w:t>29</w:t>
      </w:r>
      <w:r>
        <w:rPr>
          <w:b w:val="0"/>
        </w:rPr>
        <w:fldChar w:fldCharType="end"/>
      </w:r>
      <w:r>
        <w:rPr>
          <w:b w:val="0"/>
        </w:rPr>
        <w:fldChar w:fldCharType="end"/>
      </w:r>
    </w:p>
    <w:p w14:paraId="3276A0E0">
      <w:pPr>
        <w:pStyle w:val="29"/>
        <w:tabs>
          <w:tab w:val="right" w:leader="dot" w:pos="9637"/>
        </w:tabs>
        <w:rPr>
          <w:b w:val="0"/>
        </w:rPr>
      </w:pPr>
      <w:r>
        <w:fldChar w:fldCharType="begin"/>
      </w:r>
      <w:r>
        <w:instrText xml:space="preserve"> HYPERLINK \l "_Toc32599" </w:instrText>
      </w:r>
      <w:r>
        <w:fldChar w:fldCharType="separate"/>
      </w:r>
      <w:r>
        <w:rPr>
          <w:b w:val="0"/>
          <w:szCs w:val="30"/>
        </w:rPr>
        <w:t>附件10  技术差异表</w:t>
      </w:r>
      <w:r>
        <w:rPr>
          <w:b w:val="0"/>
        </w:rPr>
        <w:tab/>
      </w:r>
      <w:r>
        <w:rPr>
          <w:b w:val="0"/>
        </w:rPr>
        <w:fldChar w:fldCharType="begin"/>
      </w:r>
      <w:r>
        <w:rPr>
          <w:b w:val="0"/>
        </w:rPr>
        <w:instrText xml:space="preserve"> PAGEREF _Toc32599 </w:instrText>
      </w:r>
      <w:r>
        <w:rPr>
          <w:b w:val="0"/>
        </w:rPr>
        <w:fldChar w:fldCharType="separate"/>
      </w:r>
      <w:r>
        <w:rPr>
          <w:b w:val="0"/>
        </w:rPr>
        <w:t>31</w:t>
      </w:r>
      <w:r>
        <w:rPr>
          <w:b w:val="0"/>
        </w:rPr>
        <w:fldChar w:fldCharType="end"/>
      </w:r>
      <w:r>
        <w:rPr>
          <w:b w:val="0"/>
        </w:rPr>
        <w:fldChar w:fldCharType="end"/>
      </w:r>
    </w:p>
    <w:p w14:paraId="0C0683F3">
      <w:pPr>
        <w:pStyle w:val="29"/>
        <w:tabs>
          <w:tab w:val="right" w:leader="dot" w:pos="9637"/>
        </w:tabs>
        <w:rPr>
          <w:b w:val="0"/>
        </w:rPr>
      </w:pPr>
      <w:r>
        <w:fldChar w:fldCharType="begin"/>
      </w:r>
      <w:r>
        <w:instrText xml:space="preserve"> HYPERLINK \l "_Toc3339" </w:instrText>
      </w:r>
      <w:r>
        <w:fldChar w:fldCharType="separate"/>
      </w:r>
      <w:r>
        <w:rPr>
          <w:rFonts w:ascii="Arial" w:hAnsi="Arial" w:cs="Arial"/>
          <w:b w:val="0"/>
        </w:rPr>
        <w:t>附件11  附图</w:t>
      </w:r>
      <w:r>
        <w:rPr>
          <w:b w:val="0"/>
        </w:rPr>
        <w:tab/>
      </w:r>
      <w:r>
        <w:rPr>
          <w:b w:val="0"/>
        </w:rPr>
        <w:fldChar w:fldCharType="begin"/>
      </w:r>
      <w:r>
        <w:rPr>
          <w:b w:val="0"/>
        </w:rPr>
        <w:instrText xml:space="preserve"> PAGEREF _Toc3339 </w:instrText>
      </w:r>
      <w:r>
        <w:rPr>
          <w:b w:val="0"/>
        </w:rPr>
        <w:fldChar w:fldCharType="separate"/>
      </w:r>
      <w:r>
        <w:rPr>
          <w:b w:val="0"/>
        </w:rPr>
        <w:t>32</w:t>
      </w:r>
      <w:r>
        <w:rPr>
          <w:b w:val="0"/>
        </w:rPr>
        <w:fldChar w:fldCharType="end"/>
      </w:r>
      <w:r>
        <w:rPr>
          <w:b w:val="0"/>
        </w:rPr>
        <w:fldChar w:fldCharType="end"/>
      </w:r>
    </w:p>
    <w:p w14:paraId="7100BB32">
      <w:pPr>
        <w:pStyle w:val="29"/>
        <w:tabs>
          <w:tab w:val="right" w:leader="dot" w:pos="9637"/>
        </w:tabs>
        <w:rPr>
          <w:b w:val="0"/>
        </w:rPr>
      </w:pPr>
      <w:r>
        <w:fldChar w:fldCharType="begin"/>
      </w:r>
      <w:r>
        <w:instrText xml:space="preserve"> HYPERLINK \l "_Toc31784" </w:instrText>
      </w:r>
      <w:r>
        <w:fldChar w:fldCharType="separate"/>
      </w:r>
      <w:r>
        <w:rPr>
          <w:rFonts w:ascii="Arial" w:hAnsi="Arial" w:cs="Arial"/>
          <w:b w:val="0"/>
        </w:rPr>
        <w:t>附件12性能考核条款</w:t>
      </w:r>
      <w:r>
        <w:rPr>
          <w:b w:val="0"/>
        </w:rPr>
        <w:tab/>
      </w:r>
      <w:r>
        <w:rPr>
          <w:b w:val="0"/>
        </w:rPr>
        <w:fldChar w:fldCharType="begin"/>
      </w:r>
      <w:r>
        <w:rPr>
          <w:b w:val="0"/>
        </w:rPr>
        <w:instrText xml:space="preserve"> PAGEREF _Toc31784 </w:instrText>
      </w:r>
      <w:r>
        <w:rPr>
          <w:b w:val="0"/>
        </w:rPr>
        <w:fldChar w:fldCharType="separate"/>
      </w:r>
      <w:r>
        <w:rPr>
          <w:b w:val="0"/>
        </w:rPr>
        <w:t>33</w:t>
      </w:r>
      <w:r>
        <w:rPr>
          <w:b w:val="0"/>
        </w:rPr>
        <w:fldChar w:fldCharType="end"/>
      </w:r>
      <w:r>
        <w:rPr>
          <w:b w:val="0"/>
        </w:rPr>
        <w:fldChar w:fldCharType="end"/>
      </w:r>
    </w:p>
    <w:p w14:paraId="441A56AA">
      <w:pPr>
        <w:pStyle w:val="29"/>
        <w:tabs>
          <w:tab w:val="right" w:leader="dot" w:pos="9637"/>
        </w:tabs>
        <w:rPr>
          <w:b w:val="0"/>
        </w:rPr>
      </w:pPr>
      <w:r>
        <w:fldChar w:fldCharType="begin"/>
      </w:r>
      <w:r>
        <w:instrText xml:space="preserve"> HYPERLINK \l "_Toc31380" </w:instrText>
      </w:r>
      <w:r>
        <w:fldChar w:fldCharType="separate"/>
      </w:r>
      <w:r>
        <w:rPr>
          <w:rFonts w:ascii="Arial" w:hAnsi="Arial" w:cs="Arial"/>
          <w:b w:val="0"/>
        </w:rPr>
        <w:t>附件13</w:t>
      </w:r>
      <w:r>
        <w:rPr>
          <w:rFonts w:hint="eastAsia" w:ascii="Arial" w:hAnsi="Arial" w:cs="Arial"/>
          <w:b w:val="0"/>
        </w:rPr>
        <w:t>投标人</w:t>
      </w:r>
      <w:r>
        <w:rPr>
          <w:rFonts w:ascii="Arial" w:hAnsi="Arial" w:cs="Arial"/>
          <w:b w:val="0"/>
        </w:rPr>
        <w:t>需要说明的其他问题（技术特点、质保体系及售后服务承诺等）</w:t>
      </w:r>
      <w:r>
        <w:rPr>
          <w:b w:val="0"/>
        </w:rPr>
        <w:tab/>
      </w:r>
      <w:r>
        <w:rPr>
          <w:b w:val="0"/>
        </w:rPr>
        <w:fldChar w:fldCharType="begin"/>
      </w:r>
      <w:r>
        <w:rPr>
          <w:b w:val="0"/>
        </w:rPr>
        <w:instrText xml:space="preserve"> PAGEREF _Toc31380 </w:instrText>
      </w:r>
      <w:r>
        <w:rPr>
          <w:b w:val="0"/>
        </w:rPr>
        <w:fldChar w:fldCharType="separate"/>
      </w:r>
      <w:r>
        <w:rPr>
          <w:b w:val="0"/>
        </w:rPr>
        <w:t>34</w:t>
      </w:r>
      <w:r>
        <w:rPr>
          <w:b w:val="0"/>
        </w:rPr>
        <w:fldChar w:fldCharType="end"/>
      </w:r>
      <w:r>
        <w:rPr>
          <w:b w:val="0"/>
        </w:rPr>
        <w:fldChar w:fldCharType="end"/>
      </w:r>
    </w:p>
    <w:p w14:paraId="417B8802">
      <w:pPr>
        <w:pStyle w:val="2"/>
        <w:spacing w:before="120" w:beforeLines="50" w:after="120" w:afterLines="50" w:line="360" w:lineRule="auto"/>
        <w:jc w:val="left"/>
        <w:rPr>
          <w:rStyle w:val="48"/>
          <w:rFonts w:hint="eastAsia" w:ascii="Arial" w:cs="Arial"/>
          <w:b w:val="0"/>
        </w:rPr>
        <w:sectPr>
          <w:headerReference r:id="rId7" w:type="first"/>
          <w:footerReference r:id="rId10" w:type="first"/>
          <w:headerReference r:id="rId5" w:type="default"/>
          <w:footerReference r:id="rId8" w:type="default"/>
          <w:headerReference r:id="rId6" w:type="even"/>
          <w:footerReference r:id="rId9" w:type="even"/>
          <w:pgSz w:w="11906" w:h="16838"/>
          <w:pgMar w:top="1418" w:right="851" w:bottom="851" w:left="1418" w:header="680" w:footer="680" w:gutter="0"/>
          <w:pgNumType w:fmt="numberInDash" w:start="1"/>
          <w:cols w:space="720" w:num="1"/>
          <w:docGrid w:linePitch="326" w:charSpace="0"/>
        </w:sectPr>
      </w:pPr>
      <w:r>
        <w:rPr>
          <w:rFonts w:ascii="Arial" w:hAnsi="Arial" w:cs="Arial"/>
          <w:b w:val="0"/>
        </w:rPr>
        <w:fldChar w:fldCharType="end"/>
      </w:r>
    </w:p>
    <w:p w14:paraId="3B1D7CCF">
      <w:pPr>
        <w:pStyle w:val="2"/>
        <w:spacing w:before="120" w:beforeLines="50" w:after="120" w:afterLines="50" w:line="360" w:lineRule="auto"/>
        <w:jc w:val="left"/>
        <w:rPr>
          <w:rFonts w:ascii="Arial" w:hAnsi="Arial" w:cs="Arial"/>
          <w:sz w:val="30"/>
          <w:szCs w:val="30"/>
        </w:rPr>
      </w:pPr>
      <w:bookmarkStart w:id="4" w:name="_Hlt55640413"/>
      <w:bookmarkEnd w:id="4"/>
      <w:bookmarkStart w:id="5" w:name="_Hlt55640406"/>
      <w:bookmarkEnd w:id="5"/>
      <w:bookmarkStart w:id="6" w:name="_Hlt55911795"/>
      <w:bookmarkEnd w:id="6"/>
      <w:bookmarkStart w:id="7" w:name="_Hlt55804829"/>
      <w:bookmarkEnd w:id="7"/>
      <w:bookmarkStart w:id="8" w:name="_Hlt55804739"/>
      <w:bookmarkEnd w:id="8"/>
      <w:bookmarkStart w:id="9" w:name="_Hlt41985953"/>
      <w:bookmarkEnd w:id="9"/>
      <w:bookmarkStart w:id="10" w:name="_Hlt55807388"/>
      <w:bookmarkEnd w:id="10"/>
      <w:bookmarkStart w:id="11" w:name="_Toc148499938"/>
      <w:bookmarkStart w:id="12" w:name="_Toc27794"/>
      <w:bookmarkStart w:id="13" w:name="_Toc114459529"/>
      <w:bookmarkStart w:id="14" w:name="_Toc146195459"/>
      <w:bookmarkStart w:id="15" w:name="_Toc102625187"/>
      <w:bookmarkStart w:id="16" w:name="_Toc114459416"/>
      <w:bookmarkStart w:id="17" w:name="_Toc114459147"/>
      <w:bookmarkStart w:id="18" w:name="_Toc42002852"/>
      <w:bookmarkStart w:id="19" w:name="_Toc129590918"/>
      <w:bookmarkStart w:id="20" w:name="_Toc42048209"/>
      <w:bookmarkStart w:id="21" w:name="_Toc129592600"/>
      <w:r>
        <w:rPr>
          <w:rFonts w:ascii="Arial" w:hAnsi="Arial" w:cs="Arial"/>
          <w:sz w:val="30"/>
          <w:szCs w:val="30"/>
        </w:rPr>
        <w:t xml:space="preserve">附件1  </w:t>
      </w:r>
      <w:bookmarkEnd w:id="11"/>
      <w:r>
        <w:rPr>
          <w:rFonts w:ascii="Arial" w:hAnsi="Arial" w:cs="Arial"/>
          <w:sz w:val="30"/>
          <w:szCs w:val="30"/>
        </w:rPr>
        <w:t>技术规范</w:t>
      </w:r>
      <w:bookmarkEnd w:id="12"/>
    </w:p>
    <w:p w14:paraId="7549E0FF">
      <w:pPr>
        <w:pStyle w:val="3"/>
        <w:spacing w:before="0" w:after="0" w:line="500" w:lineRule="exact"/>
        <w:rPr>
          <w:rFonts w:ascii="Arial" w:cs="Arial"/>
          <w:snapToGrid/>
          <w:sz w:val="24"/>
        </w:rPr>
      </w:pPr>
      <w:bookmarkStart w:id="22" w:name="_Toc67729161"/>
      <w:bookmarkStart w:id="23" w:name="_Toc35925426"/>
      <w:r>
        <w:rPr>
          <w:rFonts w:ascii="Arial" w:cs="Arial"/>
          <w:snapToGrid/>
          <w:sz w:val="24"/>
        </w:rPr>
        <w:t>1</w:t>
      </w:r>
      <w:r>
        <w:rPr>
          <w:rFonts w:ascii="Arial" w:cs="Arial"/>
          <w:snapToGrid/>
          <w:sz w:val="24"/>
        </w:rPr>
        <w:tab/>
      </w:r>
      <w:r>
        <w:rPr>
          <w:rFonts w:ascii="Arial" w:cs="Arial"/>
          <w:snapToGrid/>
          <w:sz w:val="24"/>
        </w:rPr>
        <w:t>总则</w:t>
      </w:r>
      <w:bookmarkEnd w:id="22"/>
      <w:bookmarkEnd w:id="23"/>
    </w:p>
    <w:p w14:paraId="2E4981A3">
      <w:pPr>
        <w:widowControl/>
        <w:autoSpaceDE w:val="0"/>
        <w:autoSpaceDN w:val="0"/>
        <w:snapToGrid w:val="0"/>
        <w:spacing w:line="360" w:lineRule="auto"/>
        <w:textAlignment w:val="bottom"/>
        <w:rPr>
          <w:kern w:val="2"/>
          <w:szCs w:val="24"/>
        </w:rPr>
      </w:pPr>
      <w:r>
        <w:rPr>
          <w:kern w:val="2"/>
          <w:szCs w:val="24"/>
        </w:rPr>
        <w:t>1.1本技术规范对</w:t>
      </w:r>
      <w:r>
        <w:rPr>
          <w:rFonts w:hint="eastAsia"/>
          <w:kern w:val="2"/>
          <w:szCs w:val="24"/>
        </w:rPr>
        <w:t>浙能嘉兴电厂四期扩建项目10号机组</w:t>
      </w:r>
      <w:r>
        <w:rPr>
          <w:kern w:val="2"/>
          <w:szCs w:val="24"/>
        </w:rPr>
        <w:t>集控室</w:t>
      </w:r>
      <w:r>
        <w:rPr>
          <w:rFonts w:hint="eastAsia"/>
          <w:kern w:val="2"/>
          <w:szCs w:val="24"/>
        </w:rPr>
        <w:t>LED大屏显示系统</w:t>
      </w:r>
      <w:r>
        <w:rPr>
          <w:kern w:val="2"/>
          <w:szCs w:val="24"/>
        </w:rPr>
        <w:t>提出了</w:t>
      </w:r>
      <w:r>
        <w:rPr>
          <w:rFonts w:hint="eastAsia" w:ascii="宋体" w:hAnsi="宋体" w:cs="宋体"/>
        </w:rPr>
        <w:t>功能设计、结构、性能、安装、调试等方面的技术要求。</w:t>
      </w:r>
      <w:r>
        <w:rPr>
          <w:rFonts w:hint="eastAsia" w:ascii="宋体" w:hAnsi="宋体"/>
        </w:rPr>
        <w:t>投标人应根据本技术规范书要求提供一套完整的</w:t>
      </w:r>
      <w:r>
        <w:rPr>
          <w:rFonts w:hint="eastAsia" w:ascii="宋体" w:hAnsi="宋体" w:cs="宋体"/>
        </w:rPr>
        <w:t>集控室LED显示屏软、硬件设备、安装辅件及其备品备件，并完成LED大屏的安装、调试、数据对接、画面分区设计以及其他技术服务。</w:t>
      </w:r>
    </w:p>
    <w:p w14:paraId="54FF0C60">
      <w:pPr>
        <w:widowControl/>
        <w:autoSpaceDE w:val="0"/>
        <w:autoSpaceDN w:val="0"/>
        <w:adjustRightInd/>
        <w:snapToGrid w:val="0"/>
        <w:spacing w:line="360" w:lineRule="auto"/>
        <w:jc w:val="both"/>
        <w:textAlignment w:val="bottom"/>
        <w:rPr>
          <w:kern w:val="2"/>
          <w:szCs w:val="24"/>
        </w:rPr>
      </w:pPr>
      <w:r>
        <w:rPr>
          <w:kern w:val="2"/>
          <w:szCs w:val="24"/>
        </w:rPr>
        <w:t>1.2</w:t>
      </w:r>
      <w:r>
        <w:rPr>
          <w:rFonts w:hint="eastAsia"/>
          <w:kern w:val="2"/>
          <w:szCs w:val="24"/>
        </w:rPr>
        <w:t>招标人</w:t>
      </w:r>
      <w:r>
        <w:rPr>
          <w:kern w:val="2"/>
          <w:szCs w:val="24"/>
        </w:rPr>
        <w:t>在本技术规范中提出了最低限度的技术要求，并未规定所有的技术要求和适用的标准，</w:t>
      </w:r>
      <w:r>
        <w:rPr>
          <w:rFonts w:hint="eastAsia"/>
          <w:kern w:val="2"/>
          <w:szCs w:val="24"/>
        </w:rPr>
        <w:t>投标人</w:t>
      </w:r>
      <w:r>
        <w:rPr>
          <w:kern w:val="2"/>
          <w:szCs w:val="24"/>
        </w:rPr>
        <w:t>应提供一套满足本技术规范和所列标准要求的高质量全新产品及其相应服务。对国家有关安全、环保等强制性标准</w:t>
      </w:r>
      <w:r>
        <w:rPr>
          <w:rFonts w:hint="eastAsia"/>
          <w:kern w:val="2"/>
          <w:szCs w:val="24"/>
        </w:rPr>
        <w:t>，投标人</w:t>
      </w:r>
      <w:r>
        <w:rPr>
          <w:kern w:val="2"/>
          <w:szCs w:val="24"/>
        </w:rPr>
        <w:t>所供产品必须满足其要求。</w:t>
      </w:r>
    </w:p>
    <w:p w14:paraId="578AA7A0">
      <w:pPr>
        <w:widowControl/>
        <w:autoSpaceDE w:val="0"/>
        <w:autoSpaceDN w:val="0"/>
        <w:adjustRightInd/>
        <w:snapToGrid w:val="0"/>
        <w:spacing w:line="360" w:lineRule="auto"/>
        <w:jc w:val="both"/>
        <w:textAlignment w:val="bottom"/>
        <w:rPr>
          <w:kern w:val="2"/>
          <w:szCs w:val="24"/>
        </w:rPr>
      </w:pPr>
      <w:r>
        <w:rPr>
          <w:kern w:val="2"/>
          <w:szCs w:val="24"/>
        </w:rPr>
        <w:t>1.3</w:t>
      </w:r>
      <w:r>
        <w:rPr>
          <w:rFonts w:hint="eastAsia"/>
          <w:kern w:val="2"/>
          <w:szCs w:val="24"/>
        </w:rPr>
        <w:t>投标人</w:t>
      </w:r>
      <w:r>
        <w:rPr>
          <w:kern w:val="2"/>
          <w:szCs w:val="24"/>
        </w:rPr>
        <w:t>须执行本技术规范所列标准。当</w:t>
      </w:r>
      <w:r>
        <w:rPr>
          <w:rFonts w:hint="eastAsia"/>
          <w:kern w:val="2"/>
          <w:szCs w:val="24"/>
        </w:rPr>
        <w:t>投标人</w:t>
      </w:r>
      <w:r>
        <w:rPr>
          <w:kern w:val="2"/>
          <w:szCs w:val="24"/>
        </w:rPr>
        <w:t>所执行标准与本技术规范所列标准有矛盾时，按照技术要求严格的条款所在标准执行。</w:t>
      </w:r>
      <w:r>
        <w:rPr>
          <w:rFonts w:hint="eastAsia" w:ascii="宋体" w:hAnsi="宋体" w:cs="宋体"/>
          <w:kern w:val="2"/>
          <w:szCs w:val="24"/>
        </w:rPr>
        <w:t>投标人在设备设计和制造中所设计的各项规程，规范和标准遵循现行最新版本的标准。</w:t>
      </w:r>
    </w:p>
    <w:p w14:paraId="7D4D7C6A">
      <w:pPr>
        <w:widowControl/>
        <w:autoSpaceDE w:val="0"/>
        <w:autoSpaceDN w:val="0"/>
        <w:adjustRightInd/>
        <w:snapToGrid w:val="0"/>
        <w:spacing w:line="360" w:lineRule="auto"/>
        <w:jc w:val="both"/>
        <w:textAlignment w:val="bottom"/>
        <w:rPr>
          <w:kern w:val="2"/>
          <w:szCs w:val="24"/>
        </w:rPr>
      </w:pPr>
      <w:r>
        <w:rPr>
          <w:kern w:val="2"/>
          <w:szCs w:val="24"/>
        </w:rPr>
        <w:t>1.4若</w:t>
      </w:r>
      <w:r>
        <w:rPr>
          <w:rFonts w:hint="eastAsia"/>
          <w:kern w:val="2"/>
          <w:szCs w:val="24"/>
        </w:rPr>
        <w:t>投标人</w:t>
      </w:r>
      <w:r>
        <w:rPr>
          <w:kern w:val="2"/>
          <w:szCs w:val="24"/>
        </w:rPr>
        <w:t>所提供的技术规范前后有不一致的地方，应以更有利于设备安装运行、工程质量为原则，由</w:t>
      </w:r>
      <w:r>
        <w:rPr>
          <w:rFonts w:hint="eastAsia"/>
          <w:kern w:val="2"/>
          <w:szCs w:val="24"/>
        </w:rPr>
        <w:t>招标人</w:t>
      </w:r>
      <w:r>
        <w:rPr>
          <w:kern w:val="2"/>
          <w:szCs w:val="24"/>
        </w:rPr>
        <w:t>确定。</w:t>
      </w:r>
    </w:p>
    <w:p w14:paraId="20AADFCD">
      <w:pPr>
        <w:widowControl/>
        <w:tabs>
          <w:tab w:val="left" w:pos="340"/>
        </w:tabs>
        <w:autoSpaceDE w:val="0"/>
        <w:autoSpaceDN w:val="0"/>
        <w:adjustRightInd/>
        <w:snapToGrid w:val="0"/>
        <w:spacing w:line="360" w:lineRule="auto"/>
        <w:jc w:val="both"/>
        <w:textAlignment w:val="bottom"/>
        <w:rPr>
          <w:kern w:val="2"/>
          <w:szCs w:val="24"/>
        </w:rPr>
      </w:pPr>
      <w:r>
        <w:rPr>
          <w:kern w:val="2"/>
          <w:szCs w:val="24"/>
        </w:rPr>
        <w:t>1.5</w:t>
      </w:r>
      <w:r>
        <w:rPr>
          <w:rFonts w:hint="eastAsia"/>
          <w:kern w:val="2"/>
          <w:szCs w:val="24"/>
        </w:rPr>
        <w:t>投标人</w:t>
      </w:r>
      <w:r>
        <w:rPr>
          <w:kern w:val="2"/>
          <w:szCs w:val="24"/>
        </w:rPr>
        <w:t>在技术规范签订后10工作日内，按本</w:t>
      </w:r>
      <w:r>
        <w:rPr>
          <w:rFonts w:hint="eastAsia"/>
          <w:kern w:val="2"/>
          <w:szCs w:val="24"/>
        </w:rPr>
        <w:t>技术规范</w:t>
      </w:r>
      <w:r>
        <w:rPr>
          <w:kern w:val="2"/>
          <w:szCs w:val="24"/>
        </w:rPr>
        <w:t>要求，</w:t>
      </w:r>
      <w:r>
        <w:rPr>
          <w:rFonts w:hint="eastAsia"/>
          <w:kern w:val="2"/>
          <w:szCs w:val="24"/>
        </w:rPr>
        <w:t>投标人</w:t>
      </w:r>
      <w:r>
        <w:rPr>
          <w:kern w:val="2"/>
          <w:szCs w:val="24"/>
        </w:rPr>
        <w:t>提出合同设备的设计、制造、检验/试验、装配、安装、调试、试运、验收、试验、运行和维护等标准清单给</w:t>
      </w:r>
      <w:r>
        <w:rPr>
          <w:rFonts w:hint="eastAsia"/>
          <w:kern w:val="2"/>
          <w:szCs w:val="24"/>
        </w:rPr>
        <w:t>招标人</w:t>
      </w:r>
      <w:r>
        <w:rPr>
          <w:kern w:val="2"/>
          <w:szCs w:val="24"/>
        </w:rPr>
        <w:t>，由</w:t>
      </w:r>
      <w:r>
        <w:rPr>
          <w:rFonts w:hint="eastAsia"/>
          <w:kern w:val="2"/>
          <w:szCs w:val="24"/>
        </w:rPr>
        <w:t>招标人</w:t>
      </w:r>
      <w:r>
        <w:rPr>
          <w:kern w:val="2"/>
          <w:szCs w:val="24"/>
        </w:rPr>
        <w:t>确认。</w:t>
      </w:r>
    </w:p>
    <w:p w14:paraId="56588786">
      <w:pPr>
        <w:widowControl/>
        <w:autoSpaceDE w:val="0"/>
        <w:autoSpaceDN w:val="0"/>
        <w:adjustRightInd/>
        <w:snapToGrid w:val="0"/>
        <w:spacing w:line="360" w:lineRule="auto"/>
        <w:jc w:val="both"/>
        <w:textAlignment w:val="bottom"/>
        <w:rPr>
          <w:kern w:val="2"/>
          <w:szCs w:val="24"/>
        </w:rPr>
      </w:pPr>
      <w:r>
        <w:rPr>
          <w:kern w:val="2"/>
          <w:szCs w:val="24"/>
        </w:rPr>
        <w:t>1.6所有文件、图纸及相互通讯均应使用中文。不论在合同谈判及签约后的工程建设期间，中文是主要的工作语言。技术资料及合同规定的文件，包括图纸计算、说明、使用手册等均应使用法定计量单位(SI)。</w:t>
      </w:r>
    </w:p>
    <w:p w14:paraId="1D540788">
      <w:pPr>
        <w:widowControl/>
        <w:autoSpaceDE w:val="0"/>
        <w:autoSpaceDN w:val="0"/>
        <w:snapToGrid w:val="0"/>
        <w:spacing w:line="360" w:lineRule="auto"/>
        <w:textAlignment w:val="bottom"/>
        <w:rPr>
          <w:kern w:val="2"/>
          <w:szCs w:val="24"/>
        </w:rPr>
      </w:pPr>
      <w:r>
        <w:rPr>
          <w:kern w:val="2"/>
          <w:szCs w:val="24"/>
        </w:rPr>
        <w:t>1.7</w:t>
      </w:r>
      <w:r>
        <w:rPr>
          <w:rFonts w:hint="eastAsia"/>
          <w:kern w:val="2"/>
          <w:szCs w:val="24"/>
        </w:rPr>
        <w:t>投标人</w:t>
      </w:r>
      <w:r>
        <w:rPr>
          <w:kern w:val="2"/>
          <w:szCs w:val="24"/>
        </w:rPr>
        <w:t>对成套设备的设计、供货、安装、调试负有全部技术及质量责任，包括分包（或采购）的设备和零部件。</w:t>
      </w:r>
      <w:r>
        <w:rPr>
          <w:rFonts w:hint="eastAsia"/>
          <w:kern w:val="2"/>
          <w:szCs w:val="24"/>
        </w:rPr>
        <w:t>招标人</w:t>
      </w:r>
      <w:r>
        <w:rPr>
          <w:kern w:val="2"/>
          <w:szCs w:val="24"/>
        </w:rPr>
        <w:t>有权参加分包、外购设备的招标和技术谈判，</w:t>
      </w:r>
      <w:r>
        <w:rPr>
          <w:rFonts w:hint="eastAsia"/>
          <w:kern w:val="2"/>
          <w:szCs w:val="24"/>
        </w:rPr>
        <w:t>投标人</w:t>
      </w:r>
      <w:r>
        <w:rPr>
          <w:kern w:val="2"/>
          <w:szCs w:val="24"/>
        </w:rPr>
        <w:t>和</w:t>
      </w:r>
      <w:r>
        <w:rPr>
          <w:rFonts w:hint="eastAsia"/>
          <w:kern w:val="2"/>
          <w:szCs w:val="24"/>
        </w:rPr>
        <w:t>招标人</w:t>
      </w:r>
      <w:r>
        <w:rPr>
          <w:kern w:val="2"/>
          <w:szCs w:val="24"/>
        </w:rPr>
        <w:t>协商选择分包厂家，但技术上由</w:t>
      </w:r>
      <w:r>
        <w:rPr>
          <w:rFonts w:hint="eastAsia"/>
          <w:kern w:val="2"/>
          <w:szCs w:val="24"/>
        </w:rPr>
        <w:t>投标人</w:t>
      </w:r>
      <w:r>
        <w:rPr>
          <w:kern w:val="2"/>
          <w:szCs w:val="24"/>
        </w:rPr>
        <w:t>负责归口协调。</w:t>
      </w:r>
    </w:p>
    <w:p w14:paraId="3BB1BCCE">
      <w:pPr>
        <w:snapToGrid w:val="0"/>
        <w:spacing w:line="360" w:lineRule="auto"/>
        <w:rPr>
          <w:kern w:val="2"/>
          <w:szCs w:val="24"/>
        </w:rPr>
      </w:pPr>
      <w:r>
        <w:rPr>
          <w:kern w:val="2"/>
          <w:szCs w:val="24"/>
        </w:rPr>
        <w:t>1.8在签订合同之后，</w:t>
      </w:r>
      <w:r>
        <w:rPr>
          <w:rFonts w:hint="eastAsia"/>
          <w:kern w:val="2"/>
          <w:szCs w:val="24"/>
        </w:rPr>
        <w:t>招标人</w:t>
      </w:r>
      <w:r>
        <w:rPr>
          <w:kern w:val="2"/>
          <w:szCs w:val="24"/>
        </w:rPr>
        <w:t>有权提出因规范标准和规程发生变化而产生的一些补充要求，在设备投料生产前，</w:t>
      </w:r>
      <w:r>
        <w:rPr>
          <w:rFonts w:hint="eastAsia"/>
          <w:kern w:val="2"/>
          <w:szCs w:val="24"/>
        </w:rPr>
        <w:t>投标人</w:t>
      </w:r>
      <w:r>
        <w:rPr>
          <w:kern w:val="2"/>
          <w:szCs w:val="24"/>
        </w:rPr>
        <w:t>应在设计上给予修改。具体项目由双方共同商定。</w:t>
      </w:r>
    </w:p>
    <w:p w14:paraId="2CA500DB">
      <w:pPr>
        <w:snapToGrid w:val="0"/>
        <w:spacing w:line="360" w:lineRule="auto"/>
        <w:rPr>
          <w:kern w:val="2"/>
          <w:szCs w:val="24"/>
        </w:rPr>
      </w:pPr>
      <w:r>
        <w:rPr>
          <w:kern w:val="2"/>
          <w:szCs w:val="24"/>
        </w:rPr>
        <w:t>1.9</w:t>
      </w:r>
      <w:r>
        <w:rPr>
          <w:rFonts w:hint="eastAsia"/>
          <w:kern w:val="2"/>
          <w:szCs w:val="24"/>
        </w:rPr>
        <w:t>投标人</w:t>
      </w:r>
      <w:r>
        <w:rPr>
          <w:kern w:val="2"/>
          <w:szCs w:val="24"/>
        </w:rPr>
        <w:t>应列出在工程进展中由于</w:t>
      </w:r>
      <w:r>
        <w:rPr>
          <w:rFonts w:hint="eastAsia"/>
          <w:kern w:val="2"/>
          <w:szCs w:val="24"/>
        </w:rPr>
        <w:t>招标人</w:t>
      </w:r>
      <w:r>
        <w:rPr>
          <w:kern w:val="2"/>
          <w:szCs w:val="24"/>
        </w:rPr>
        <w:t>设计方案变动可能会产生变化的设备、材料等变化的单价，并应承诺这些单价在工程建设期间价格不变。</w:t>
      </w:r>
    </w:p>
    <w:p w14:paraId="511E991D">
      <w:pPr>
        <w:snapToGrid w:val="0"/>
        <w:spacing w:line="360" w:lineRule="auto"/>
        <w:rPr>
          <w:kern w:val="2"/>
          <w:szCs w:val="24"/>
        </w:rPr>
      </w:pPr>
      <w:r>
        <w:rPr>
          <w:kern w:val="2"/>
          <w:szCs w:val="24"/>
        </w:rPr>
        <w:t>1.10如果投标人未以书面形式对本规范书提出异议，则意味着投标人提供的系统满足了本规范书和有关工业标准的要求。如有异议，不管是多么微小，都应在投标书中以“对规范书的意见和同规范书的差异”为标题的专门章节中加以详细表明。</w:t>
      </w:r>
    </w:p>
    <w:p w14:paraId="1DE4D949">
      <w:pPr>
        <w:snapToGrid w:val="0"/>
        <w:spacing w:line="360" w:lineRule="auto"/>
        <w:rPr>
          <w:kern w:val="2"/>
          <w:szCs w:val="24"/>
        </w:rPr>
      </w:pPr>
      <w:r>
        <w:rPr>
          <w:kern w:val="2"/>
          <w:szCs w:val="24"/>
        </w:rPr>
        <w:t>1.11只有招标人有权修改本规范书。合同谈判将以本规范书为蓝本，并列入招标人认可的技术偏差，经修改后最终确定的技术规范将作为合同的一个附件，并与合同文件有相同的法律效力</w:t>
      </w:r>
      <w:r>
        <w:rPr>
          <w:rFonts w:hint="eastAsia"/>
          <w:kern w:val="2"/>
          <w:szCs w:val="24"/>
        </w:rPr>
        <w:t>。</w:t>
      </w:r>
    </w:p>
    <w:p w14:paraId="6F7080A3">
      <w:pPr>
        <w:widowControl/>
        <w:autoSpaceDE w:val="0"/>
        <w:autoSpaceDN w:val="0"/>
        <w:adjustRightInd/>
        <w:snapToGrid w:val="0"/>
        <w:spacing w:line="360" w:lineRule="auto"/>
        <w:jc w:val="both"/>
        <w:textAlignment w:val="bottom"/>
        <w:rPr>
          <w:kern w:val="2"/>
          <w:szCs w:val="24"/>
        </w:rPr>
      </w:pPr>
      <w:r>
        <w:rPr>
          <w:rFonts w:hint="eastAsia"/>
          <w:kern w:val="2"/>
          <w:szCs w:val="24"/>
        </w:rPr>
        <w:t>1.12 所有硬件设备必须具备原制造厂商的铭牌、标志，所有设备均需得到制造商认证及授权，符合制造商公布的质量标准，所有硬件设备必须通过合法渠道。对于自产设备必须提供相关生产许可、国家强制性认证等文件。本系统中出现的任何涉及非法进口设备的纠纷，均由投标人承担全部法律责任，不能采用淘汰或非主流产品。</w:t>
      </w:r>
    </w:p>
    <w:p w14:paraId="4A03D31E">
      <w:pPr>
        <w:widowControl/>
        <w:autoSpaceDE w:val="0"/>
        <w:autoSpaceDN w:val="0"/>
        <w:adjustRightInd/>
        <w:snapToGrid w:val="0"/>
        <w:spacing w:line="360" w:lineRule="auto"/>
        <w:jc w:val="both"/>
        <w:textAlignment w:val="bottom"/>
        <w:rPr>
          <w:kern w:val="2"/>
          <w:szCs w:val="24"/>
        </w:rPr>
      </w:pPr>
      <w:r>
        <w:rPr>
          <w:kern w:val="2"/>
          <w:szCs w:val="24"/>
        </w:rPr>
        <w:t>1.</w:t>
      </w:r>
      <w:r>
        <w:rPr>
          <w:rFonts w:hint="eastAsia"/>
          <w:kern w:val="2"/>
          <w:szCs w:val="24"/>
        </w:rPr>
        <w:t>13 本工程采用统一标识系统，编码按照</w:t>
      </w:r>
      <w:r>
        <w:rPr>
          <w:kern w:val="2"/>
          <w:szCs w:val="24"/>
        </w:rPr>
        <w:t>GB/T50549-2010</w:t>
      </w:r>
      <w:r>
        <w:rPr>
          <w:rFonts w:hint="eastAsia"/>
          <w:kern w:val="2"/>
          <w:szCs w:val="24"/>
        </w:rPr>
        <w:t>《电厂标识系统编码标准》执行。投标人提供的所有技术文件（包括图纸）和设备的标识应满足此标准。投标人应在设计、制造、运输、按照、试运及项目管理的各个环节使用该编码。具体的标识原则、方法和内容在第一次设计联络会上讨论确定。</w:t>
      </w:r>
    </w:p>
    <w:p w14:paraId="0FC700F1">
      <w:pPr>
        <w:widowControl/>
        <w:autoSpaceDE w:val="0"/>
        <w:autoSpaceDN w:val="0"/>
        <w:adjustRightInd/>
        <w:snapToGrid w:val="0"/>
        <w:spacing w:line="360" w:lineRule="auto"/>
        <w:jc w:val="both"/>
        <w:textAlignment w:val="bottom"/>
        <w:rPr>
          <w:kern w:val="2"/>
          <w:szCs w:val="24"/>
        </w:rPr>
      </w:pPr>
      <w:r>
        <w:rPr>
          <w:kern w:val="2"/>
          <w:szCs w:val="24"/>
        </w:rPr>
        <w:t>1.1</w:t>
      </w:r>
      <w:r>
        <w:rPr>
          <w:rFonts w:hint="eastAsia"/>
          <w:kern w:val="2"/>
          <w:szCs w:val="24"/>
        </w:rPr>
        <w:t>4 投标人</w:t>
      </w:r>
      <w:r>
        <w:rPr>
          <w:kern w:val="2"/>
          <w:szCs w:val="24"/>
        </w:rPr>
        <w:t>的工作范围</w:t>
      </w:r>
      <w:r>
        <w:rPr>
          <w:rFonts w:hint="eastAsia"/>
          <w:kern w:val="2"/>
          <w:szCs w:val="24"/>
        </w:rPr>
        <w:t>（</w:t>
      </w:r>
      <w:r>
        <w:rPr>
          <w:kern w:val="2"/>
          <w:szCs w:val="24"/>
        </w:rPr>
        <w:t>包括</w:t>
      </w:r>
      <w:r>
        <w:rPr>
          <w:rFonts w:hint="eastAsia"/>
          <w:kern w:val="2"/>
          <w:szCs w:val="24"/>
        </w:rPr>
        <w:t>但不限于此）</w:t>
      </w:r>
      <w:r>
        <w:rPr>
          <w:kern w:val="2"/>
          <w:szCs w:val="24"/>
        </w:rPr>
        <w:t>：</w:t>
      </w:r>
    </w:p>
    <w:p w14:paraId="607BC543">
      <w:pPr>
        <w:widowControl/>
        <w:autoSpaceDE w:val="0"/>
        <w:autoSpaceDN w:val="0"/>
        <w:adjustRightInd/>
        <w:snapToGrid w:val="0"/>
        <w:spacing w:line="360" w:lineRule="auto"/>
        <w:jc w:val="both"/>
        <w:textAlignment w:val="bottom"/>
        <w:rPr>
          <w:kern w:val="2"/>
          <w:szCs w:val="24"/>
        </w:rPr>
      </w:pPr>
      <w:r>
        <w:rPr>
          <w:kern w:val="2"/>
          <w:szCs w:val="24"/>
        </w:rPr>
        <w:t>（1）</w:t>
      </w:r>
      <w:r>
        <w:rPr>
          <w:rFonts w:hint="eastAsia" w:ascii="宋体" w:hAnsi="宋体" w:cs="宋体"/>
        </w:rPr>
        <w:t>按本技术规范和适用的工业标准，提供一套完整的本项目集控室LED大屏显示系统设备，包括必需的硬件、软件、配电、各种安装辅助材料（如电源及电缆、光缆、预制电缆、安装支架等）和各项服务</w:t>
      </w:r>
      <w:r>
        <w:rPr>
          <w:kern w:val="2"/>
          <w:szCs w:val="24"/>
        </w:rPr>
        <w:t>；</w:t>
      </w:r>
    </w:p>
    <w:p w14:paraId="074B7F86">
      <w:pPr>
        <w:widowControl/>
        <w:autoSpaceDE w:val="0"/>
        <w:autoSpaceDN w:val="0"/>
        <w:adjustRightInd/>
        <w:snapToGrid w:val="0"/>
        <w:spacing w:line="360" w:lineRule="auto"/>
        <w:jc w:val="both"/>
        <w:textAlignment w:val="bottom"/>
        <w:rPr>
          <w:kern w:val="2"/>
          <w:szCs w:val="24"/>
        </w:rPr>
      </w:pPr>
      <w:r>
        <w:rPr>
          <w:kern w:val="2"/>
          <w:szCs w:val="24"/>
        </w:rPr>
        <w:t>（2）</w:t>
      </w:r>
      <w:r>
        <w:rPr>
          <w:rFonts w:hint="eastAsia" w:ascii="宋体" w:hAnsi="宋体" w:cs="宋体"/>
        </w:rPr>
        <w:t>按照本技术规范规定的全部功能要求，以及招标人提供的资料，进行系统设计、供货、安装、调试、培训、验收等服务</w:t>
      </w:r>
      <w:r>
        <w:rPr>
          <w:kern w:val="2"/>
          <w:szCs w:val="24"/>
        </w:rPr>
        <w:t>；</w:t>
      </w:r>
    </w:p>
    <w:p w14:paraId="7667E588">
      <w:pPr>
        <w:widowControl/>
        <w:autoSpaceDE w:val="0"/>
        <w:autoSpaceDN w:val="0"/>
        <w:adjustRightInd/>
        <w:snapToGrid w:val="0"/>
        <w:spacing w:line="360" w:lineRule="auto"/>
        <w:jc w:val="both"/>
        <w:textAlignment w:val="bottom"/>
        <w:rPr>
          <w:kern w:val="2"/>
          <w:szCs w:val="24"/>
        </w:rPr>
      </w:pPr>
      <w:r>
        <w:rPr>
          <w:kern w:val="2"/>
          <w:szCs w:val="24"/>
        </w:rPr>
        <w:t>（3）</w:t>
      </w:r>
      <w:r>
        <w:rPr>
          <w:rFonts w:hint="eastAsia" w:ascii="宋体" w:hAnsi="宋体" w:cs="宋体"/>
        </w:rPr>
        <w:t>根据本技术规范的要求，提供必需的安装详图和安装指导说明，以及施工图设计、安装调试、运行维护所需的全部图纸和资料</w:t>
      </w:r>
      <w:r>
        <w:rPr>
          <w:kern w:val="2"/>
          <w:szCs w:val="24"/>
        </w:rPr>
        <w:t>；</w:t>
      </w:r>
    </w:p>
    <w:p w14:paraId="0ADD98E8">
      <w:pPr>
        <w:widowControl/>
        <w:autoSpaceDE w:val="0"/>
        <w:autoSpaceDN w:val="0"/>
        <w:adjustRightInd/>
        <w:snapToGrid w:val="0"/>
        <w:spacing w:line="360" w:lineRule="auto"/>
        <w:jc w:val="both"/>
        <w:textAlignment w:val="bottom"/>
        <w:rPr>
          <w:kern w:val="2"/>
          <w:szCs w:val="24"/>
        </w:rPr>
      </w:pPr>
      <w:r>
        <w:rPr>
          <w:kern w:val="2"/>
          <w:szCs w:val="24"/>
        </w:rPr>
        <w:t>（4）</w:t>
      </w:r>
      <w:r>
        <w:rPr>
          <w:rFonts w:hint="eastAsia" w:ascii="宋体" w:hAnsi="宋体" w:cs="宋体"/>
        </w:rPr>
        <w:t>提供最终的系统配置图、系统布置图、系统设备清册、系统操作说明（SOD）、设备清单等文件</w:t>
      </w:r>
      <w:r>
        <w:rPr>
          <w:kern w:val="2"/>
          <w:szCs w:val="24"/>
        </w:rPr>
        <w:t>；</w:t>
      </w:r>
    </w:p>
    <w:p w14:paraId="723FB18D">
      <w:pPr>
        <w:widowControl/>
        <w:autoSpaceDE w:val="0"/>
        <w:autoSpaceDN w:val="0"/>
        <w:adjustRightInd/>
        <w:snapToGrid w:val="0"/>
        <w:spacing w:line="360" w:lineRule="auto"/>
        <w:jc w:val="both"/>
        <w:textAlignment w:val="bottom"/>
        <w:rPr>
          <w:kern w:val="2"/>
          <w:szCs w:val="24"/>
        </w:rPr>
      </w:pPr>
      <w:r>
        <w:rPr>
          <w:kern w:val="2"/>
          <w:szCs w:val="24"/>
        </w:rPr>
        <w:t>（5）</w:t>
      </w:r>
      <w:r>
        <w:rPr>
          <w:rFonts w:hint="eastAsia" w:ascii="宋体" w:hAnsi="宋体" w:cs="宋体"/>
        </w:rPr>
        <w:t>通电启动和调试服务，实现所供的大屏设备正常的运行，达到本技术规范规定的全部功能</w:t>
      </w:r>
      <w:r>
        <w:rPr>
          <w:kern w:val="2"/>
          <w:szCs w:val="24"/>
        </w:rPr>
        <w:t>；</w:t>
      </w:r>
    </w:p>
    <w:p w14:paraId="108B740C">
      <w:pPr>
        <w:widowControl/>
        <w:autoSpaceDE w:val="0"/>
        <w:autoSpaceDN w:val="0"/>
        <w:adjustRightInd/>
        <w:snapToGrid w:val="0"/>
        <w:spacing w:line="360" w:lineRule="auto"/>
        <w:jc w:val="both"/>
        <w:textAlignment w:val="bottom"/>
        <w:rPr>
          <w:kern w:val="2"/>
          <w:szCs w:val="24"/>
        </w:rPr>
      </w:pPr>
      <w:r>
        <w:rPr>
          <w:kern w:val="2"/>
          <w:szCs w:val="24"/>
        </w:rPr>
        <w:t>（6）</w:t>
      </w:r>
      <w:r>
        <w:rPr>
          <w:rFonts w:hint="eastAsia" w:ascii="宋体" w:hAnsi="宋体" w:cs="宋体"/>
        </w:rPr>
        <w:t>根据本技术规范的要求，向招标人提供大屏设备运行所需的系统支持文件，用于系统编程、维护、修改和调试</w:t>
      </w:r>
      <w:r>
        <w:rPr>
          <w:rFonts w:hint="eastAsia"/>
          <w:kern w:val="2"/>
          <w:szCs w:val="24"/>
        </w:rPr>
        <w:t>；</w:t>
      </w:r>
    </w:p>
    <w:p w14:paraId="50EFB3B8">
      <w:pPr>
        <w:widowControl/>
        <w:autoSpaceDE w:val="0"/>
        <w:autoSpaceDN w:val="0"/>
        <w:adjustRightInd/>
        <w:snapToGrid w:val="0"/>
        <w:spacing w:line="360" w:lineRule="auto"/>
        <w:jc w:val="both"/>
        <w:textAlignment w:val="bottom"/>
        <w:rPr>
          <w:rFonts w:hint="eastAsia" w:ascii="宋体" w:hAnsi="宋体" w:cs="宋体"/>
        </w:rPr>
      </w:pPr>
      <w:r>
        <w:rPr>
          <w:kern w:val="2"/>
          <w:szCs w:val="24"/>
        </w:rPr>
        <w:t>（</w:t>
      </w:r>
      <w:r>
        <w:rPr>
          <w:rFonts w:hint="eastAsia"/>
          <w:kern w:val="2"/>
          <w:szCs w:val="24"/>
        </w:rPr>
        <w:t>7</w:t>
      </w:r>
      <w:r>
        <w:rPr>
          <w:kern w:val="2"/>
          <w:szCs w:val="24"/>
        </w:rPr>
        <w:t>）</w:t>
      </w:r>
      <w:r>
        <w:rPr>
          <w:rFonts w:hint="eastAsia" w:ascii="宋体" w:hAnsi="宋体" w:cs="宋体"/>
        </w:rPr>
        <w:t>负责培训招标人的运行和维护工程技术人员，使他们能熟练的操作、维护、修改和调试系统。提供完善的帮助系统和齐全的系统操作说明、典型的故障案例和故障图谱的实例讲解；</w:t>
      </w:r>
    </w:p>
    <w:p w14:paraId="16CE7F00">
      <w:pPr>
        <w:widowControl/>
        <w:autoSpaceDE w:val="0"/>
        <w:autoSpaceDN w:val="0"/>
        <w:adjustRightInd/>
        <w:snapToGrid w:val="0"/>
        <w:spacing w:line="360" w:lineRule="auto"/>
        <w:jc w:val="both"/>
        <w:textAlignment w:val="bottom"/>
        <w:rPr>
          <w:kern w:val="2"/>
          <w:szCs w:val="24"/>
        </w:rPr>
      </w:pPr>
      <w:r>
        <w:rPr>
          <w:rFonts w:hint="eastAsia" w:ascii="宋体" w:hAnsi="宋体" w:cs="宋体"/>
        </w:rPr>
        <w:t>（8）投标人应根据建议方案的具体情况，对以后正常维护和扩展所需的备件种类和数量提出建议；</w:t>
      </w:r>
      <w:r>
        <w:rPr>
          <w:rFonts w:ascii="宋体" w:hAnsi="宋体" w:cs="宋体"/>
        </w:rPr>
        <w:br w:type="textWrapping"/>
      </w:r>
      <w:r>
        <w:rPr>
          <w:rFonts w:hint="eastAsia" w:ascii="宋体" w:hAnsi="宋体" w:cs="宋体"/>
        </w:rPr>
        <w:t>（9）</w:t>
      </w:r>
      <w:r>
        <w:rPr>
          <w:rFonts w:hint="eastAsia" w:hAnsi="宋体" w:cs="宋体"/>
          <w:kern w:val="2"/>
          <w:szCs w:val="24"/>
        </w:rPr>
        <w:t>投标人应参加招标人集控室二次装修设计联络会，LED显示屏单元板尺寸、屏体框架尺寸及颜色等设计选型应配合招标人集控室整体二次装饰装修设计方案，确保集控室LED显示屏整体和谐、美观，框架对接完整。</w:t>
      </w:r>
    </w:p>
    <w:p w14:paraId="0AEADEB9">
      <w:pPr>
        <w:widowControl/>
        <w:autoSpaceDE w:val="0"/>
        <w:autoSpaceDN w:val="0"/>
        <w:adjustRightInd/>
        <w:snapToGrid w:val="0"/>
        <w:spacing w:line="360" w:lineRule="auto"/>
        <w:jc w:val="both"/>
        <w:textAlignment w:val="bottom"/>
        <w:rPr>
          <w:kern w:val="2"/>
          <w:szCs w:val="24"/>
        </w:rPr>
      </w:pPr>
      <w:r>
        <w:rPr>
          <w:rFonts w:hint="eastAsia"/>
          <w:kern w:val="2"/>
          <w:szCs w:val="24"/>
        </w:rPr>
        <w:t>1.15 招标人的工作范围（</w:t>
      </w:r>
      <w:r>
        <w:rPr>
          <w:kern w:val="2"/>
          <w:szCs w:val="24"/>
        </w:rPr>
        <w:t>包括</w:t>
      </w:r>
      <w:r>
        <w:rPr>
          <w:rFonts w:hint="eastAsia"/>
          <w:kern w:val="2"/>
          <w:szCs w:val="24"/>
        </w:rPr>
        <w:t>但不限于此）</w:t>
      </w:r>
      <w:r>
        <w:rPr>
          <w:kern w:val="2"/>
          <w:szCs w:val="24"/>
        </w:rPr>
        <w:t>：</w:t>
      </w:r>
    </w:p>
    <w:p w14:paraId="6F6F09C4">
      <w:pPr>
        <w:widowControl/>
        <w:autoSpaceDE w:val="0"/>
        <w:autoSpaceDN w:val="0"/>
        <w:adjustRightInd/>
        <w:snapToGrid w:val="0"/>
        <w:spacing w:line="360" w:lineRule="auto"/>
        <w:jc w:val="both"/>
        <w:textAlignment w:val="bottom"/>
        <w:rPr>
          <w:kern w:val="2"/>
          <w:szCs w:val="24"/>
        </w:rPr>
      </w:pPr>
      <w:r>
        <w:rPr>
          <w:kern w:val="2"/>
          <w:szCs w:val="24"/>
        </w:rPr>
        <w:t>（1）</w:t>
      </w:r>
      <w:r>
        <w:rPr>
          <w:rFonts w:hint="eastAsia" w:ascii="宋体" w:hAnsi="宋体" w:cs="宋体"/>
        </w:rPr>
        <w:t>审核投标人的系统方案和提供的资料、图纸、技术文件</w:t>
      </w:r>
      <w:r>
        <w:rPr>
          <w:kern w:val="2"/>
          <w:szCs w:val="24"/>
        </w:rPr>
        <w:t>；</w:t>
      </w:r>
    </w:p>
    <w:p w14:paraId="11D684A4">
      <w:pPr>
        <w:widowControl/>
        <w:autoSpaceDE w:val="0"/>
        <w:autoSpaceDN w:val="0"/>
        <w:adjustRightInd/>
        <w:snapToGrid w:val="0"/>
        <w:spacing w:line="360" w:lineRule="auto"/>
        <w:jc w:val="both"/>
        <w:textAlignment w:val="bottom"/>
        <w:rPr>
          <w:rFonts w:hint="eastAsia" w:ascii="宋体" w:hAnsi="宋体" w:cs="宋体"/>
        </w:rPr>
      </w:pPr>
      <w:r>
        <w:rPr>
          <w:kern w:val="2"/>
          <w:szCs w:val="24"/>
        </w:rPr>
        <w:t>（2）</w:t>
      </w:r>
      <w:r>
        <w:rPr>
          <w:rFonts w:hint="eastAsia" w:ascii="宋体" w:hAnsi="宋体" w:cs="宋体"/>
        </w:rPr>
        <w:t>负责对投标人最终完成的集控室LED大屏显示系进行验收。</w:t>
      </w:r>
    </w:p>
    <w:p w14:paraId="6DAB325C">
      <w:pPr>
        <w:widowControl/>
        <w:autoSpaceDE w:val="0"/>
        <w:autoSpaceDN w:val="0"/>
        <w:adjustRightInd/>
        <w:snapToGrid w:val="0"/>
        <w:spacing w:line="360" w:lineRule="auto"/>
        <w:jc w:val="both"/>
        <w:textAlignment w:val="bottom"/>
        <w:rPr>
          <w:kern w:val="2"/>
          <w:szCs w:val="24"/>
        </w:rPr>
      </w:pPr>
    </w:p>
    <w:p w14:paraId="5BB7E8C2">
      <w:pPr>
        <w:pStyle w:val="3"/>
        <w:spacing w:before="0" w:after="0" w:line="500" w:lineRule="exact"/>
        <w:rPr>
          <w:rFonts w:ascii="Arial" w:cs="Arial"/>
          <w:snapToGrid/>
          <w:sz w:val="24"/>
        </w:rPr>
      </w:pPr>
      <w:r>
        <w:rPr>
          <w:rFonts w:ascii="Arial" w:cs="Arial"/>
          <w:snapToGrid/>
          <w:sz w:val="24"/>
        </w:rPr>
        <w:t>2</w:t>
      </w:r>
      <w:r>
        <w:rPr>
          <w:rFonts w:ascii="Arial" w:cs="Arial"/>
          <w:snapToGrid/>
          <w:sz w:val="24"/>
        </w:rPr>
        <w:tab/>
      </w:r>
      <w:r>
        <w:rPr>
          <w:rFonts w:hint="eastAsia" w:ascii="Arial" w:cs="Arial"/>
          <w:snapToGrid/>
          <w:sz w:val="24"/>
        </w:rPr>
        <w:t>工程概况</w:t>
      </w:r>
    </w:p>
    <w:p w14:paraId="396945B3">
      <w:pPr>
        <w:spacing w:line="500" w:lineRule="exact"/>
      </w:pPr>
      <w:r>
        <w:t>2.1  厂址概况</w:t>
      </w:r>
    </w:p>
    <w:p w14:paraId="16A3BB19">
      <w:pPr>
        <w:spacing w:line="500" w:lineRule="exact"/>
        <w:ind w:firstLine="480" w:firstLineChars="200"/>
        <w:rPr>
          <w:rFonts w:hint="eastAsia" w:asciiTheme="minorEastAsia" w:hAnsiTheme="minorEastAsia" w:eastAsiaTheme="minorEastAsia"/>
        </w:rPr>
      </w:pPr>
      <w:r>
        <w:rPr>
          <w:rFonts w:hint="eastAsia" w:asciiTheme="minorEastAsia" w:hAnsiTheme="minorEastAsia" w:eastAsiaTheme="minorEastAsia"/>
        </w:rPr>
        <w:t>嘉兴发电厂位于浙江省嘉兴市平湖市钱塘江北岸的六里湾。厂址东南临杭州湾，西北侧有沪杭公路，厂址东距上海市</w:t>
      </w:r>
      <w:r>
        <w:rPr>
          <w:rFonts w:asciiTheme="minorEastAsia" w:hAnsiTheme="minorEastAsia" w:eastAsiaTheme="minorEastAsia"/>
        </w:rPr>
        <w:t>90km</w:t>
      </w:r>
      <w:r>
        <w:rPr>
          <w:rFonts w:hint="eastAsia" w:asciiTheme="minorEastAsia" w:hAnsiTheme="minorEastAsia" w:eastAsiaTheme="minorEastAsia"/>
        </w:rPr>
        <w:t>，西离杭州市</w:t>
      </w:r>
      <w:r>
        <w:rPr>
          <w:rFonts w:asciiTheme="minorEastAsia" w:hAnsiTheme="minorEastAsia" w:eastAsiaTheme="minorEastAsia"/>
        </w:rPr>
        <w:t>122km</w:t>
      </w:r>
      <w:r>
        <w:rPr>
          <w:rFonts w:hint="eastAsia" w:asciiTheme="minorEastAsia" w:hAnsiTheme="minorEastAsia" w:eastAsiaTheme="minorEastAsia"/>
        </w:rPr>
        <w:t>，北至嘉兴市</w:t>
      </w:r>
      <w:r>
        <w:rPr>
          <w:rFonts w:asciiTheme="minorEastAsia" w:hAnsiTheme="minorEastAsia" w:eastAsiaTheme="minorEastAsia"/>
        </w:rPr>
        <w:t>41km</w:t>
      </w:r>
      <w:r>
        <w:rPr>
          <w:rFonts w:hint="eastAsia" w:asciiTheme="minorEastAsia" w:hAnsiTheme="minorEastAsia" w:eastAsiaTheme="minorEastAsia"/>
        </w:rPr>
        <w:t>、距乍浦港</w:t>
      </w:r>
      <w:r>
        <w:rPr>
          <w:rFonts w:asciiTheme="minorEastAsia" w:hAnsiTheme="minorEastAsia" w:eastAsiaTheme="minorEastAsia"/>
        </w:rPr>
        <w:t>6km</w:t>
      </w:r>
      <w:r>
        <w:rPr>
          <w:rFonts w:hint="eastAsia" w:asciiTheme="minorEastAsia" w:hAnsiTheme="minorEastAsia" w:eastAsiaTheme="minorEastAsia"/>
        </w:rPr>
        <w:t>。电厂现有装机容量为</w:t>
      </w:r>
      <w:r>
        <w:rPr>
          <w:rFonts w:asciiTheme="minorEastAsia" w:hAnsiTheme="minorEastAsia" w:eastAsiaTheme="minorEastAsia"/>
        </w:rPr>
        <w:t>5300MW</w:t>
      </w:r>
      <w:r>
        <w:rPr>
          <w:rFonts w:hint="eastAsia" w:asciiTheme="minorEastAsia" w:hAnsiTheme="minorEastAsia" w:eastAsiaTheme="minorEastAsia"/>
        </w:rPr>
        <w:t>。三期机组正在进行增容改造，改造后</w:t>
      </w:r>
      <w:r>
        <w:rPr>
          <w:rFonts w:asciiTheme="minorEastAsia" w:hAnsiTheme="minorEastAsia" w:eastAsiaTheme="minorEastAsia"/>
        </w:rPr>
        <w:t>2</w:t>
      </w:r>
      <w:r>
        <w:rPr>
          <w:rFonts w:hint="eastAsia" w:asciiTheme="minorEastAsia" w:hAnsiTheme="minorEastAsia" w:eastAsiaTheme="minorEastAsia"/>
        </w:rPr>
        <w:t>台机组容量将达到</w:t>
      </w:r>
      <w:r>
        <w:rPr>
          <w:rFonts w:asciiTheme="minorEastAsia" w:hAnsiTheme="minorEastAsia" w:eastAsiaTheme="minorEastAsia"/>
        </w:rPr>
        <w:t>1050MW</w:t>
      </w:r>
      <w:r>
        <w:rPr>
          <w:rFonts w:hint="eastAsia" w:asciiTheme="minorEastAsia" w:hAnsiTheme="minorEastAsia" w:eastAsiaTheme="minorEastAsia"/>
        </w:rPr>
        <w:t>和</w:t>
      </w:r>
      <w:r>
        <w:rPr>
          <w:rFonts w:asciiTheme="minorEastAsia" w:hAnsiTheme="minorEastAsia" w:eastAsiaTheme="minorEastAsia"/>
        </w:rPr>
        <w:t>1070MW</w:t>
      </w:r>
      <w:r>
        <w:rPr>
          <w:rFonts w:hint="eastAsia" w:asciiTheme="minorEastAsia" w:hAnsiTheme="minorEastAsia" w:eastAsiaTheme="minorEastAsia"/>
        </w:rPr>
        <w:t>，届时电厂前三期总容量将达到</w:t>
      </w:r>
      <w:r>
        <w:rPr>
          <w:rFonts w:asciiTheme="minorEastAsia" w:hAnsiTheme="minorEastAsia" w:eastAsiaTheme="minorEastAsia"/>
        </w:rPr>
        <w:t>5420MW</w:t>
      </w:r>
      <w:r>
        <w:rPr>
          <w:rFonts w:hint="eastAsia" w:asciiTheme="minorEastAsia" w:hAnsiTheme="minorEastAsia" w:eastAsiaTheme="minorEastAsia"/>
        </w:rPr>
        <w:t>。</w:t>
      </w:r>
    </w:p>
    <w:p w14:paraId="224D641C">
      <w:pPr>
        <w:spacing w:line="500" w:lineRule="exact"/>
        <w:ind w:firstLine="480" w:firstLineChars="200"/>
        <w:rPr>
          <w:rFonts w:hint="eastAsia" w:ascii="宋体" w:hAnsi="宋体"/>
          <w:szCs w:val="24"/>
        </w:rPr>
      </w:pPr>
      <w:r>
        <w:rPr>
          <w:rFonts w:hint="eastAsia" w:asciiTheme="minorEastAsia" w:hAnsiTheme="minorEastAsia" w:eastAsiaTheme="minorEastAsia"/>
        </w:rPr>
        <w:t>电厂一期建设</w:t>
      </w:r>
      <w:r>
        <w:rPr>
          <w:rFonts w:asciiTheme="minorEastAsia" w:hAnsiTheme="minorEastAsia" w:eastAsiaTheme="minorEastAsia"/>
        </w:rPr>
        <w:t>2</w:t>
      </w:r>
      <w:r>
        <w:rPr>
          <w:rFonts w:hint="eastAsia" w:asciiTheme="minorEastAsia" w:hAnsiTheme="minorEastAsia" w:eastAsiaTheme="minorEastAsia"/>
        </w:rPr>
        <w:t>×</w:t>
      </w:r>
      <w:r>
        <w:rPr>
          <w:rFonts w:asciiTheme="minorEastAsia" w:hAnsiTheme="minorEastAsia" w:eastAsiaTheme="minorEastAsia"/>
        </w:rPr>
        <w:t>330MW</w:t>
      </w:r>
      <w:r>
        <w:rPr>
          <w:rFonts w:hint="eastAsia" w:asciiTheme="minorEastAsia" w:hAnsiTheme="minorEastAsia" w:eastAsiaTheme="minorEastAsia"/>
        </w:rPr>
        <w:t>国产引进型燃煤机组，</w:t>
      </w:r>
      <w:r>
        <w:rPr>
          <w:rFonts w:asciiTheme="minorEastAsia" w:hAnsiTheme="minorEastAsia" w:eastAsiaTheme="minorEastAsia"/>
        </w:rPr>
        <w:t>1995</w:t>
      </w:r>
      <w:r>
        <w:rPr>
          <w:rFonts w:hint="eastAsia" w:asciiTheme="minorEastAsia" w:hAnsiTheme="minorEastAsia" w:eastAsiaTheme="minorEastAsia"/>
        </w:rPr>
        <w:t>年投产；电厂二期建设</w:t>
      </w:r>
      <w:r>
        <w:rPr>
          <w:rFonts w:asciiTheme="minorEastAsia" w:hAnsiTheme="minorEastAsia" w:eastAsiaTheme="minorEastAsia"/>
        </w:rPr>
        <w:t>4</w:t>
      </w:r>
      <w:r>
        <w:rPr>
          <w:rFonts w:hint="eastAsia" w:asciiTheme="minorEastAsia" w:hAnsiTheme="minorEastAsia" w:eastAsiaTheme="minorEastAsia"/>
        </w:rPr>
        <w:t>×</w:t>
      </w:r>
      <w:r>
        <w:rPr>
          <w:rFonts w:asciiTheme="minorEastAsia" w:hAnsiTheme="minorEastAsia" w:eastAsiaTheme="minorEastAsia"/>
        </w:rPr>
        <w:t>660MW</w:t>
      </w:r>
      <w:r>
        <w:rPr>
          <w:rFonts w:hint="eastAsia" w:asciiTheme="minorEastAsia" w:hAnsiTheme="minorEastAsia" w:eastAsiaTheme="minorEastAsia"/>
        </w:rPr>
        <w:t>国产亚临界燃煤机组，</w:t>
      </w:r>
      <w:r>
        <w:rPr>
          <w:rFonts w:asciiTheme="minorEastAsia" w:hAnsiTheme="minorEastAsia" w:eastAsiaTheme="minorEastAsia"/>
        </w:rPr>
        <w:t>2005</w:t>
      </w:r>
      <w:r>
        <w:rPr>
          <w:rFonts w:hint="eastAsia" w:asciiTheme="minorEastAsia" w:hAnsiTheme="minorEastAsia" w:eastAsiaTheme="minorEastAsia"/>
        </w:rPr>
        <w:t>年投产；电厂三期工程扩建</w:t>
      </w:r>
      <w:r>
        <w:rPr>
          <w:rFonts w:asciiTheme="minorEastAsia" w:hAnsiTheme="minorEastAsia" w:eastAsiaTheme="minorEastAsia"/>
        </w:rPr>
        <w:t>2</w:t>
      </w:r>
      <w:r>
        <w:rPr>
          <w:rFonts w:hint="eastAsia" w:asciiTheme="minorEastAsia" w:hAnsiTheme="minorEastAsia" w:eastAsiaTheme="minorEastAsia"/>
        </w:rPr>
        <w:t>×</w:t>
      </w:r>
      <w:r>
        <w:rPr>
          <w:rFonts w:asciiTheme="minorEastAsia" w:hAnsiTheme="minorEastAsia" w:eastAsiaTheme="minorEastAsia"/>
        </w:rPr>
        <w:t>1000MW</w:t>
      </w:r>
      <w:r>
        <w:rPr>
          <w:rFonts w:hint="eastAsia" w:asciiTheme="minorEastAsia" w:hAnsiTheme="minorEastAsia" w:eastAsiaTheme="minorEastAsia"/>
        </w:rPr>
        <w:t>超超临界燃煤机组，</w:t>
      </w:r>
      <w:r>
        <w:rPr>
          <w:rFonts w:asciiTheme="minorEastAsia" w:hAnsiTheme="minorEastAsia" w:eastAsiaTheme="minorEastAsia"/>
        </w:rPr>
        <w:t>2011</w:t>
      </w:r>
      <w:r>
        <w:rPr>
          <w:rFonts w:hint="eastAsia" w:asciiTheme="minorEastAsia" w:hAnsiTheme="minorEastAsia" w:eastAsiaTheme="minorEastAsia"/>
        </w:rPr>
        <w:t>年投产。</w:t>
      </w:r>
    </w:p>
    <w:p w14:paraId="0E06383A">
      <w:pPr>
        <w:spacing w:line="500" w:lineRule="exact"/>
        <w:ind w:firstLine="454"/>
      </w:pPr>
      <w:r>
        <w:rPr>
          <w:rFonts w:hint="eastAsia" w:ascii="宋体" w:hAnsi="宋体"/>
          <w:szCs w:val="24"/>
        </w:rPr>
        <w:t>本工程为四期扩建项目</w:t>
      </w:r>
      <w:r>
        <w:rPr>
          <w:szCs w:val="24"/>
        </w:rPr>
        <w:t>10</w:t>
      </w:r>
      <w:r>
        <w:rPr>
          <w:rFonts w:hint="eastAsia" w:ascii="宋体" w:hAnsi="宋体"/>
          <w:szCs w:val="24"/>
        </w:rPr>
        <w:t>号机组，建设</w:t>
      </w:r>
      <w:r>
        <w:rPr>
          <w:szCs w:val="24"/>
        </w:rPr>
        <w:t>1</w:t>
      </w:r>
      <w:r>
        <w:rPr>
          <w:rFonts w:hint="eastAsia" w:ascii="宋体" w:hAnsi="宋体"/>
          <w:szCs w:val="24"/>
        </w:rPr>
        <w:t>台</w:t>
      </w:r>
      <w:r>
        <w:rPr>
          <w:szCs w:val="24"/>
        </w:rPr>
        <w:t>1000MW</w:t>
      </w:r>
      <w:r>
        <w:rPr>
          <w:rFonts w:hint="eastAsia" w:ascii="宋体" w:hAnsi="宋体"/>
          <w:szCs w:val="24"/>
        </w:rPr>
        <w:t>级超超临界一次再热燃煤发电机组，同步建设烟气脱硫、脱硝设施。建设场地位于电厂东北围墙外场地和老厂东南侧。</w:t>
      </w:r>
    </w:p>
    <w:p w14:paraId="1FA7C970">
      <w:pPr>
        <w:widowControl/>
        <w:autoSpaceDE w:val="0"/>
        <w:autoSpaceDN w:val="0"/>
        <w:snapToGrid w:val="0"/>
        <w:spacing w:line="360" w:lineRule="auto"/>
        <w:textAlignment w:val="bottom"/>
        <w:rPr>
          <w:kern w:val="2"/>
          <w:szCs w:val="24"/>
        </w:rPr>
      </w:pPr>
      <w:r>
        <w:rPr>
          <w:kern w:val="2"/>
          <w:szCs w:val="24"/>
        </w:rPr>
        <w:t>2.</w:t>
      </w:r>
      <w:r>
        <w:rPr>
          <w:rFonts w:hint="eastAsia"/>
          <w:kern w:val="2"/>
          <w:szCs w:val="24"/>
        </w:rPr>
        <w:t>2气象资料</w:t>
      </w:r>
    </w:p>
    <w:p w14:paraId="02E7824B">
      <w:pPr>
        <w:spacing w:line="500" w:lineRule="exact"/>
        <w:ind w:firstLine="480" w:firstLineChars="200"/>
        <w:rPr>
          <w:rFonts w:hint="eastAsia" w:asciiTheme="minorEastAsia" w:hAnsiTheme="minorEastAsia" w:eastAsiaTheme="minorEastAsia"/>
        </w:rPr>
      </w:pPr>
      <w:r>
        <w:rPr>
          <w:rFonts w:hint="eastAsia" w:asciiTheme="minorEastAsia" w:hAnsiTheme="minorEastAsia" w:eastAsiaTheme="minorEastAsia"/>
        </w:rPr>
        <w:t>本工程厂址所在区域属北亚热带南缘季风海洋性气候，冬暖夏凉，冬夏季风交替显著，冷暖空气交替频繁，无霜期长，光照充足，多大风和台风。</w:t>
      </w:r>
    </w:p>
    <w:p w14:paraId="067E17FE">
      <w:pPr>
        <w:spacing w:line="500" w:lineRule="exact"/>
        <w:ind w:firstLine="480"/>
        <w:rPr>
          <w:rFonts w:hint="eastAsia" w:asciiTheme="minorEastAsia" w:hAnsiTheme="minorEastAsia" w:eastAsiaTheme="minorEastAsia"/>
        </w:rPr>
      </w:pPr>
      <w:r>
        <w:rPr>
          <w:rFonts w:hint="eastAsia" w:asciiTheme="minorEastAsia" w:hAnsiTheme="minorEastAsia" w:eastAsiaTheme="minorEastAsia"/>
        </w:rPr>
        <w:t>厂址气象要素特征值参考附近的乍浦气象站资料，各气象要素累年特征值如下：</w:t>
      </w:r>
    </w:p>
    <w:p w14:paraId="2E6B2D37">
      <w:pPr>
        <w:spacing w:line="500" w:lineRule="exact"/>
        <w:ind w:firstLine="480" w:firstLineChars="200"/>
        <w:rPr>
          <w:rFonts w:hint="eastAsia" w:asciiTheme="minorEastAsia" w:hAnsiTheme="minorEastAsia" w:eastAsiaTheme="minorEastAsia"/>
        </w:rPr>
      </w:pPr>
      <w:r>
        <w:rPr>
          <w:rFonts w:hint="eastAsia" w:asciiTheme="minorEastAsia" w:hAnsiTheme="minorEastAsia" w:eastAsiaTheme="minorEastAsia"/>
        </w:rPr>
        <w:t>累年平均气压：</w:t>
      </w:r>
      <w:r>
        <w:rPr>
          <w:rFonts w:asciiTheme="minorEastAsia" w:hAnsiTheme="minorEastAsia" w:eastAsiaTheme="minorEastAsia"/>
        </w:rPr>
        <w:t>1016.1hpa</w:t>
      </w:r>
    </w:p>
    <w:p w14:paraId="60B25B74">
      <w:pPr>
        <w:spacing w:line="500" w:lineRule="exact"/>
        <w:ind w:firstLine="480" w:firstLineChars="200"/>
        <w:rPr>
          <w:rFonts w:hint="eastAsia" w:asciiTheme="minorEastAsia" w:hAnsiTheme="minorEastAsia" w:eastAsiaTheme="minorEastAsia"/>
        </w:rPr>
      </w:pPr>
      <w:r>
        <w:rPr>
          <w:rFonts w:hint="eastAsia" w:asciiTheme="minorEastAsia" w:hAnsiTheme="minorEastAsia" w:eastAsiaTheme="minorEastAsia"/>
        </w:rPr>
        <w:t>累年平均气温：</w:t>
      </w:r>
      <w:r>
        <w:rPr>
          <w:rFonts w:asciiTheme="minorEastAsia" w:hAnsiTheme="minorEastAsia" w:eastAsiaTheme="minorEastAsia"/>
        </w:rPr>
        <w:t>15.7</w:t>
      </w:r>
      <w:r>
        <w:rPr>
          <w:rFonts w:asciiTheme="minorEastAsia" w:hAnsiTheme="minorEastAsia" w:eastAsiaTheme="minorEastAsia"/>
        </w:rPr>
        <w:sym w:font="Symbol" w:char="F0B0"/>
      </w:r>
      <w:r>
        <w:rPr>
          <w:rFonts w:asciiTheme="minorEastAsia" w:hAnsiTheme="minorEastAsia" w:eastAsiaTheme="minorEastAsia"/>
        </w:rPr>
        <w:t xml:space="preserve">C </w:t>
      </w:r>
    </w:p>
    <w:p w14:paraId="356B62D8">
      <w:pPr>
        <w:spacing w:line="500" w:lineRule="exact"/>
        <w:ind w:firstLine="480" w:firstLineChars="200"/>
        <w:rPr>
          <w:rFonts w:hint="eastAsia" w:asciiTheme="minorEastAsia" w:hAnsiTheme="minorEastAsia" w:eastAsiaTheme="minorEastAsia"/>
        </w:rPr>
      </w:pPr>
      <w:r>
        <w:rPr>
          <w:rFonts w:hint="eastAsia" w:asciiTheme="minorEastAsia" w:hAnsiTheme="minorEastAsia" w:eastAsiaTheme="minorEastAsia"/>
        </w:rPr>
        <w:t>累年最热月平均气温：</w:t>
      </w:r>
      <w:r>
        <w:rPr>
          <w:rFonts w:asciiTheme="minorEastAsia" w:hAnsiTheme="minorEastAsia" w:eastAsiaTheme="minorEastAsia"/>
        </w:rPr>
        <w:t>28.1</w:t>
      </w:r>
      <w:r>
        <w:rPr>
          <w:rFonts w:asciiTheme="minorEastAsia" w:hAnsiTheme="minorEastAsia" w:eastAsiaTheme="minorEastAsia"/>
        </w:rPr>
        <w:sym w:font="Symbol" w:char="F0B0"/>
      </w:r>
      <w:r>
        <w:rPr>
          <w:rFonts w:asciiTheme="minorEastAsia" w:hAnsiTheme="minorEastAsia" w:eastAsiaTheme="minorEastAsia"/>
        </w:rPr>
        <w:t>C</w:t>
      </w:r>
    </w:p>
    <w:p w14:paraId="73BBD7A0">
      <w:pPr>
        <w:spacing w:line="500" w:lineRule="exact"/>
        <w:ind w:firstLine="480" w:firstLineChars="200"/>
        <w:rPr>
          <w:rFonts w:hint="eastAsia" w:asciiTheme="minorEastAsia" w:hAnsiTheme="minorEastAsia" w:eastAsiaTheme="minorEastAsia"/>
        </w:rPr>
      </w:pPr>
      <w:r>
        <w:rPr>
          <w:rFonts w:hint="eastAsia" w:asciiTheme="minorEastAsia" w:hAnsiTheme="minorEastAsia" w:eastAsiaTheme="minorEastAsia"/>
        </w:rPr>
        <w:t>累年最冷月平均气温：</w:t>
      </w:r>
      <w:r>
        <w:rPr>
          <w:rFonts w:asciiTheme="minorEastAsia" w:hAnsiTheme="minorEastAsia" w:eastAsiaTheme="minorEastAsia"/>
        </w:rPr>
        <w:t>3.5</w:t>
      </w:r>
      <w:r>
        <w:rPr>
          <w:rFonts w:asciiTheme="minorEastAsia" w:hAnsiTheme="minorEastAsia" w:eastAsiaTheme="minorEastAsia"/>
        </w:rPr>
        <w:sym w:font="Symbol" w:char="F0B0"/>
      </w:r>
      <w:r>
        <w:rPr>
          <w:rFonts w:asciiTheme="minorEastAsia" w:hAnsiTheme="minorEastAsia" w:eastAsiaTheme="minorEastAsia"/>
        </w:rPr>
        <w:t>C</w:t>
      </w:r>
    </w:p>
    <w:p w14:paraId="084C0931">
      <w:pPr>
        <w:spacing w:line="500" w:lineRule="exact"/>
        <w:ind w:firstLine="480" w:firstLineChars="200"/>
        <w:rPr>
          <w:rFonts w:hint="eastAsia" w:asciiTheme="minorEastAsia" w:hAnsiTheme="minorEastAsia" w:eastAsiaTheme="minorEastAsia"/>
        </w:rPr>
      </w:pPr>
      <w:r>
        <w:rPr>
          <w:rFonts w:hint="eastAsia" w:asciiTheme="minorEastAsia" w:hAnsiTheme="minorEastAsia" w:eastAsiaTheme="minorEastAsia"/>
        </w:rPr>
        <w:t>极端最高气温：</w:t>
      </w:r>
      <w:r>
        <w:rPr>
          <w:rFonts w:asciiTheme="minorEastAsia" w:hAnsiTheme="minorEastAsia" w:eastAsiaTheme="minorEastAsia"/>
        </w:rPr>
        <w:t>38.4</w:t>
      </w:r>
      <w:r>
        <w:rPr>
          <w:rFonts w:asciiTheme="minorEastAsia" w:hAnsiTheme="minorEastAsia" w:eastAsiaTheme="minorEastAsia"/>
        </w:rPr>
        <w:sym w:font="Symbol" w:char="F0B0"/>
      </w:r>
      <w:r>
        <w:rPr>
          <w:rFonts w:asciiTheme="minorEastAsia" w:hAnsiTheme="minorEastAsia" w:eastAsiaTheme="minorEastAsia"/>
        </w:rPr>
        <w:t>C</w:t>
      </w:r>
    </w:p>
    <w:p w14:paraId="68095E36">
      <w:pPr>
        <w:spacing w:line="500" w:lineRule="exact"/>
        <w:ind w:firstLine="480" w:firstLineChars="200"/>
        <w:rPr>
          <w:rFonts w:hint="eastAsia" w:asciiTheme="minorEastAsia" w:hAnsiTheme="minorEastAsia" w:eastAsiaTheme="minorEastAsia"/>
        </w:rPr>
      </w:pPr>
      <w:r>
        <w:rPr>
          <w:rFonts w:hint="eastAsia" w:asciiTheme="minorEastAsia" w:hAnsiTheme="minorEastAsia" w:eastAsiaTheme="minorEastAsia"/>
        </w:rPr>
        <w:t>极端最低气温：</w:t>
      </w:r>
      <w:r>
        <w:rPr>
          <w:rFonts w:asciiTheme="minorEastAsia" w:hAnsiTheme="minorEastAsia" w:eastAsiaTheme="minorEastAsia"/>
        </w:rPr>
        <w:t>-10.6</w:t>
      </w:r>
      <w:r>
        <w:rPr>
          <w:rFonts w:asciiTheme="minorEastAsia" w:hAnsiTheme="minorEastAsia" w:eastAsiaTheme="minorEastAsia"/>
        </w:rPr>
        <w:sym w:font="Symbol" w:char="F0B0"/>
      </w:r>
      <w:r>
        <w:rPr>
          <w:rFonts w:asciiTheme="minorEastAsia" w:hAnsiTheme="minorEastAsia" w:eastAsiaTheme="minorEastAsia"/>
        </w:rPr>
        <w:t>C</w:t>
      </w:r>
    </w:p>
    <w:p w14:paraId="4A702D69">
      <w:pPr>
        <w:spacing w:line="500" w:lineRule="exact"/>
        <w:ind w:firstLine="480" w:firstLineChars="200"/>
        <w:rPr>
          <w:rFonts w:hint="eastAsia" w:asciiTheme="minorEastAsia" w:hAnsiTheme="minorEastAsia" w:eastAsiaTheme="minorEastAsia"/>
        </w:rPr>
      </w:pPr>
      <w:r>
        <w:rPr>
          <w:rFonts w:hint="eastAsia" w:asciiTheme="minorEastAsia" w:hAnsiTheme="minorEastAsia" w:eastAsiaTheme="minorEastAsia"/>
        </w:rPr>
        <w:t>累年平均相对湿度：</w:t>
      </w:r>
      <w:r>
        <w:rPr>
          <w:rFonts w:asciiTheme="minorEastAsia" w:hAnsiTheme="minorEastAsia" w:eastAsiaTheme="minorEastAsia"/>
        </w:rPr>
        <w:t>82%</w:t>
      </w:r>
    </w:p>
    <w:p w14:paraId="4C8AEF48">
      <w:pPr>
        <w:spacing w:line="500" w:lineRule="exact"/>
        <w:ind w:firstLine="480" w:firstLineChars="200"/>
        <w:rPr>
          <w:rFonts w:hint="eastAsia" w:asciiTheme="minorEastAsia" w:hAnsiTheme="minorEastAsia" w:eastAsiaTheme="minorEastAsia"/>
        </w:rPr>
      </w:pPr>
      <w:r>
        <w:rPr>
          <w:rFonts w:hint="eastAsia" w:asciiTheme="minorEastAsia" w:hAnsiTheme="minorEastAsia" w:eastAsiaTheme="minorEastAsia"/>
        </w:rPr>
        <w:t>累年最小相对湿度：</w:t>
      </w:r>
      <w:r>
        <w:rPr>
          <w:rFonts w:asciiTheme="minorEastAsia" w:hAnsiTheme="minorEastAsia" w:eastAsiaTheme="minorEastAsia"/>
        </w:rPr>
        <w:t>9%</w:t>
      </w:r>
    </w:p>
    <w:p w14:paraId="090A8AB5">
      <w:pPr>
        <w:spacing w:line="500" w:lineRule="exact"/>
        <w:ind w:firstLine="480" w:firstLineChars="200"/>
        <w:rPr>
          <w:rFonts w:hint="eastAsia" w:asciiTheme="minorEastAsia" w:hAnsiTheme="minorEastAsia" w:eastAsiaTheme="minorEastAsia"/>
        </w:rPr>
      </w:pPr>
      <w:r>
        <w:rPr>
          <w:rFonts w:hint="eastAsia" w:asciiTheme="minorEastAsia" w:hAnsiTheme="minorEastAsia" w:eastAsiaTheme="minorEastAsia"/>
        </w:rPr>
        <w:t>累年平均水汽压：</w:t>
      </w:r>
      <w:r>
        <w:rPr>
          <w:rFonts w:asciiTheme="minorEastAsia" w:hAnsiTheme="minorEastAsia" w:eastAsiaTheme="minorEastAsia"/>
        </w:rPr>
        <w:t>16.9hpa</w:t>
      </w:r>
    </w:p>
    <w:p w14:paraId="7477E44B">
      <w:pPr>
        <w:spacing w:line="500" w:lineRule="exact"/>
        <w:ind w:firstLine="480" w:firstLineChars="200"/>
        <w:rPr>
          <w:rFonts w:hint="eastAsia" w:asciiTheme="minorEastAsia" w:hAnsiTheme="minorEastAsia" w:eastAsiaTheme="minorEastAsia"/>
        </w:rPr>
      </w:pPr>
      <w:r>
        <w:rPr>
          <w:rFonts w:hint="eastAsia" w:asciiTheme="minorEastAsia" w:hAnsiTheme="minorEastAsia" w:eastAsiaTheme="minorEastAsia"/>
        </w:rPr>
        <w:t>累年最大水汽压：</w:t>
      </w:r>
      <w:r>
        <w:rPr>
          <w:rFonts w:asciiTheme="minorEastAsia" w:hAnsiTheme="minorEastAsia" w:eastAsiaTheme="minorEastAsia"/>
        </w:rPr>
        <w:t>41.0hpa</w:t>
      </w:r>
    </w:p>
    <w:p w14:paraId="367E0756">
      <w:pPr>
        <w:spacing w:line="500" w:lineRule="exact"/>
        <w:ind w:firstLine="480" w:firstLineChars="200"/>
        <w:rPr>
          <w:rFonts w:hint="eastAsia" w:asciiTheme="minorEastAsia" w:hAnsiTheme="minorEastAsia" w:eastAsiaTheme="minorEastAsia"/>
        </w:rPr>
      </w:pPr>
      <w:r>
        <w:rPr>
          <w:rFonts w:hint="eastAsia" w:asciiTheme="minorEastAsia" w:hAnsiTheme="minorEastAsia" w:eastAsiaTheme="minorEastAsia"/>
        </w:rPr>
        <w:t>累年最小水汽压：</w:t>
      </w:r>
      <w:r>
        <w:rPr>
          <w:rFonts w:asciiTheme="minorEastAsia" w:hAnsiTheme="minorEastAsia" w:eastAsiaTheme="minorEastAsia"/>
        </w:rPr>
        <w:t>1.2hpa</w:t>
      </w:r>
    </w:p>
    <w:p w14:paraId="1BEC2BE9">
      <w:pPr>
        <w:spacing w:line="500" w:lineRule="exact"/>
        <w:ind w:firstLine="480" w:firstLineChars="200"/>
        <w:rPr>
          <w:rFonts w:hint="eastAsia" w:asciiTheme="minorEastAsia" w:hAnsiTheme="minorEastAsia" w:eastAsiaTheme="minorEastAsia"/>
        </w:rPr>
      </w:pPr>
      <w:r>
        <w:rPr>
          <w:rFonts w:hint="eastAsia" w:asciiTheme="minorEastAsia" w:hAnsiTheme="minorEastAsia" w:eastAsiaTheme="minorEastAsia"/>
        </w:rPr>
        <w:t>累年平均降水量：</w:t>
      </w:r>
      <w:r>
        <w:rPr>
          <w:rFonts w:asciiTheme="minorEastAsia" w:hAnsiTheme="minorEastAsia" w:eastAsiaTheme="minorEastAsia"/>
        </w:rPr>
        <w:t>1162.0mm</w:t>
      </w:r>
    </w:p>
    <w:p w14:paraId="4E5D4FED">
      <w:pPr>
        <w:spacing w:line="500" w:lineRule="exact"/>
        <w:ind w:firstLine="480" w:firstLineChars="200"/>
        <w:rPr>
          <w:rFonts w:hint="eastAsia" w:asciiTheme="minorEastAsia" w:hAnsiTheme="minorEastAsia" w:eastAsiaTheme="minorEastAsia"/>
        </w:rPr>
      </w:pPr>
      <w:r>
        <w:rPr>
          <w:rFonts w:hint="eastAsia" w:asciiTheme="minorEastAsia" w:hAnsiTheme="minorEastAsia" w:eastAsiaTheme="minorEastAsia"/>
        </w:rPr>
        <w:t>累年最大年降水量：</w:t>
      </w:r>
      <w:r>
        <w:rPr>
          <w:rFonts w:asciiTheme="minorEastAsia" w:hAnsiTheme="minorEastAsia" w:eastAsiaTheme="minorEastAsia"/>
        </w:rPr>
        <w:t>1764.0mm</w:t>
      </w:r>
    </w:p>
    <w:p w14:paraId="6CD01F78">
      <w:pPr>
        <w:spacing w:line="500" w:lineRule="exact"/>
        <w:ind w:firstLine="480" w:firstLineChars="200"/>
        <w:rPr>
          <w:rFonts w:hint="eastAsia" w:asciiTheme="minorEastAsia" w:hAnsiTheme="minorEastAsia" w:eastAsiaTheme="minorEastAsia"/>
        </w:rPr>
      </w:pPr>
      <w:r>
        <w:rPr>
          <w:rFonts w:hint="eastAsia" w:asciiTheme="minorEastAsia" w:hAnsiTheme="minorEastAsia" w:eastAsiaTheme="minorEastAsia"/>
        </w:rPr>
        <w:t>累年最小年降水量：</w:t>
      </w:r>
      <w:r>
        <w:rPr>
          <w:rFonts w:asciiTheme="minorEastAsia" w:hAnsiTheme="minorEastAsia" w:eastAsiaTheme="minorEastAsia"/>
        </w:rPr>
        <w:t>791.3mm</w:t>
      </w:r>
    </w:p>
    <w:p w14:paraId="07543FC6">
      <w:pPr>
        <w:spacing w:line="500" w:lineRule="exact"/>
        <w:ind w:firstLine="480" w:firstLineChars="200"/>
        <w:rPr>
          <w:rFonts w:hint="eastAsia" w:asciiTheme="minorEastAsia" w:hAnsiTheme="minorEastAsia" w:eastAsiaTheme="minorEastAsia"/>
        </w:rPr>
      </w:pPr>
      <w:r>
        <w:rPr>
          <w:rFonts w:hint="eastAsia" w:asciiTheme="minorEastAsia" w:hAnsiTheme="minorEastAsia" w:eastAsiaTheme="minorEastAsia"/>
        </w:rPr>
        <w:t>累年最大一日降水量：</w:t>
      </w:r>
      <w:r>
        <w:rPr>
          <w:rFonts w:asciiTheme="minorEastAsia" w:hAnsiTheme="minorEastAsia" w:eastAsiaTheme="minorEastAsia"/>
        </w:rPr>
        <w:t>276.4mm</w:t>
      </w:r>
    </w:p>
    <w:p w14:paraId="461F481A">
      <w:pPr>
        <w:spacing w:line="500" w:lineRule="exact"/>
        <w:ind w:firstLine="480" w:firstLineChars="200"/>
        <w:rPr>
          <w:rFonts w:hint="eastAsia" w:asciiTheme="minorEastAsia" w:hAnsiTheme="minorEastAsia" w:eastAsiaTheme="minorEastAsia"/>
        </w:rPr>
      </w:pPr>
      <w:r>
        <w:rPr>
          <w:rFonts w:hint="eastAsia" w:asciiTheme="minorEastAsia" w:hAnsiTheme="minorEastAsia" w:eastAsiaTheme="minorEastAsia"/>
        </w:rPr>
        <w:t>累年最大</w:t>
      </w:r>
      <w:r>
        <w:rPr>
          <w:rFonts w:asciiTheme="minorEastAsia" w:hAnsiTheme="minorEastAsia" w:eastAsiaTheme="minorEastAsia"/>
        </w:rPr>
        <w:t>1</w:t>
      </w:r>
      <w:r>
        <w:rPr>
          <w:rFonts w:hint="eastAsia" w:asciiTheme="minorEastAsia" w:hAnsiTheme="minorEastAsia" w:eastAsiaTheme="minorEastAsia"/>
        </w:rPr>
        <w:t>小时降水量：</w:t>
      </w:r>
      <w:r>
        <w:rPr>
          <w:rFonts w:asciiTheme="minorEastAsia" w:hAnsiTheme="minorEastAsia" w:eastAsiaTheme="minorEastAsia"/>
        </w:rPr>
        <w:t>29.1mm</w:t>
      </w:r>
    </w:p>
    <w:p w14:paraId="391DD7A0">
      <w:pPr>
        <w:spacing w:line="500" w:lineRule="exact"/>
        <w:ind w:firstLine="480" w:firstLineChars="200"/>
        <w:rPr>
          <w:rFonts w:hint="eastAsia" w:asciiTheme="minorEastAsia" w:hAnsiTheme="minorEastAsia" w:eastAsiaTheme="minorEastAsia"/>
        </w:rPr>
      </w:pPr>
      <w:r>
        <w:rPr>
          <w:rFonts w:hint="eastAsia" w:asciiTheme="minorEastAsia" w:hAnsiTheme="minorEastAsia" w:eastAsiaTheme="minorEastAsia"/>
        </w:rPr>
        <w:t>累年平均蒸发量：</w:t>
      </w:r>
      <w:r>
        <w:rPr>
          <w:rFonts w:asciiTheme="minorEastAsia" w:hAnsiTheme="minorEastAsia" w:eastAsiaTheme="minorEastAsia"/>
        </w:rPr>
        <w:t>1291.1mm</w:t>
      </w:r>
    </w:p>
    <w:p w14:paraId="48E5E838">
      <w:pPr>
        <w:spacing w:line="500" w:lineRule="exact"/>
        <w:ind w:firstLine="480" w:firstLineChars="200"/>
        <w:rPr>
          <w:rFonts w:hint="eastAsia" w:asciiTheme="minorEastAsia" w:hAnsiTheme="minorEastAsia" w:eastAsiaTheme="minorEastAsia"/>
        </w:rPr>
      </w:pPr>
      <w:r>
        <w:rPr>
          <w:rFonts w:hint="eastAsia" w:asciiTheme="minorEastAsia" w:hAnsiTheme="minorEastAsia" w:eastAsiaTheme="minorEastAsia"/>
        </w:rPr>
        <w:t>累年平均雷暴日数：</w:t>
      </w:r>
      <w:r>
        <w:rPr>
          <w:rFonts w:asciiTheme="minorEastAsia" w:hAnsiTheme="minorEastAsia" w:eastAsiaTheme="minorEastAsia"/>
        </w:rPr>
        <w:t>31.9d</w:t>
      </w:r>
    </w:p>
    <w:p w14:paraId="370A970B">
      <w:pPr>
        <w:spacing w:line="500" w:lineRule="exact"/>
        <w:ind w:firstLine="480" w:firstLineChars="200"/>
        <w:rPr>
          <w:rFonts w:hint="eastAsia" w:asciiTheme="minorEastAsia" w:hAnsiTheme="minorEastAsia" w:eastAsiaTheme="minorEastAsia"/>
        </w:rPr>
      </w:pPr>
      <w:r>
        <w:rPr>
          <w:rFonts w:hint="eastAsia" w:asciiTheme="minorEastAsia" w:hAnsiTheme="minorEastAsia" w:eastAsiaTheme="minorEastAsia"/>
        </w:rPr>
        <w:t>累年最多雷暴日数：</w:t>
      </w:r>
      <w:r>
        <w:rPr>
          <w:rFonts w:asciiTheme="minorEastAsia" w:hAnsiTheme="minorEastAsia" w:eastAsiaTheme="minorEastAsia"/>
        </w:rPr>
        <w:t>56d</w:t>
      </w:r>
    </w:p>
    <w:p w14:paraId="2C514DA6">
      <w:pPr>
        <w:spacing w:line="500" w:lineRule="exact"/>
        <w:ind w:firstLine="480" w:firstLineChars="200"/>
        <w:rPr>
          <w:rFonts w:hint="eastAsia" w:asciiTheme="minorEastAsia" w:hAnsiTheme="minorEastAsia" w:eastAsiaTheme="minorEastAsia"/>
        </w:rPr>
      </w:pPr>
      <w:r>
        <w:rPr>
          <w:rFonts w:hint="eastAsia" w:asciiTheme="minorEastAsia" w:hAnsiTheme="minorEastAsia" w:eastAsiaTheme="minorEastAsia"/>
        </w:rPr>
        <w:t>累年平均雾日数：</w:t>
      </w:r>
      <w:r>
        <w:rPr>
          <w:rFonts w:asciiTheme="minorEastAsia" w:hAnsiTheme="minorEastAsia" w:eastAsiaTheme="minorEastAsia"/>
        </w:rPr>
        <w:t>35.7d</w:t>
      </w:r>
    </w:p>
    <w:p w14:paraId="461CAC2D">
      <w:pPr>
        <w:spacing w:line="500" w:lineRule="exact"/>
        <w:ind w:firstLine="480" w:firstLineChars="200"/>
        <w:rPr>
          <w:rFonts w:hint="eastAsia" w:asciiTheme="minorEastAsia" w:hAnsiTheme="minorEastAsia" w:eastAsiaTheme="minorEastAsia"/>
        </w:rPr>
      </w:pPr>
      <w:r>
        <w:rPr>
          <w:rFonts w:hint="eastAsia" w:asciiTheme="minorEastAsia" w:hAnsiTheme="minorEastAsia" w:eastAsiaTheme="minorEastAsia"/>
        </w:rPr>
        <w:t>累年最多雾日数：</w:t>
      </w:r>
      <w:r>
        <w:rPr>
          <w:rFonts w:asciiTheme="minorEastAsia" w:hAnsiTheme="minorEastAsia" w:eastAsiaTheme="minorEastAsia"/>
        </w:rPr>
        <w:t>57d</w:t>
      </w:r>
    </w:p>
    <w:p w14:paraId="55061024">
      <w:pPr>
        <w:spacing w:line="500" w:lineRule="exact"/>
        <w:ind w:firstLine="480" w:firstLineChars="200"/>
        <w:rPr>
          <w:rFonts w:hint="eastAsia" w:asciiTheme="minorEastAsia" w:hAnsiTheme="minorEastAsia" w:eastAsiaTheme="minorEastAsia"/>
        </w:rPr>
      </w:pPr>
      <w:r>
        <w:rPr>
          <w:rFonts w:hint="eastAsia" w:asciiTheme="minorEastAsia" w:hAnsiTheme="minorEastAsia" w:eastAsiaTheme="minorEastAsia"/>
        </w:rPr>
        <w:t>累年最大积雪深度：</w:t>
      </w:r>
      <w:r>
        <w:rPr>
          <w:rFonts w:asciiTheme="minorEastAsia" w:hAnsiTheme="minorEastAsia" w:eastAsiaTheme="minorEastAsia"/>
        </w:rPr>
        <w:t>15cm</w:t>
      </w:r>
    </w:p>
    <w:p w14:paraId="64A60E17">
      <w:pPr>
        <w:spacing w:line="500" w:lineRule="exact"/>
        <w:ind w:firstLine="480" w:firstLineChars="200"/>
        <w:rPr>
          <w:rFonts w:hint="eastAsia" w:asciiTheme="minorEastAsia" w:hAnsiTheme="minorEastAsia" w:eastAsiaTheme="minorEastAsia"/>
        </w:rPr>
      </w:pPr>
      <w:r>
        <w:rPr>
          <w:rFonts w:hint="eastAsia" w:asciiTheme="minorEastAsia" w:hAnsiTheme="minorEastAsia" w:eastAsiaTheme="minorEastAsia"/>
        </w:rPr>
        <w:t>累年平均风速：</w:t>
      </w:r>
      <w:r>
        <w:rPr>
          <w:rFonts w:asciiTheme="minorEastAsia" w:hAnsiTheme="minorEastAsia" w:eastAsiaTheme="minorEastAsia"/>
        </w:rPr>
        <w:t>3.4m/s</w:t>
      </w:r>
    </w:p>
    <w:p w14:paraId="51778077">
      <w:pPr>
        <w:spacing w:line="500" w:lineRule="exact"/>
        <w:ind w:firstLine="480" w:firstLineChars="200"/>
        <w:rPr>
          <w:rFonts w:hint="eastAsia" w:asciiTheme="minorEastAsia" w:hAnsiTheme="minorEastAsia" w:eastAsiaTheme="minorEastAsia"/>
        </w:rPr>
      </w:pPr>
      <w:r>
        <w:rPr>
          <w:rFonts w:hint="eastAsia" w:asciiTheme="minorEastAsia" w:hAnsiTheme="minorEastAsia" w:eastAsiaTheme="minorEastAsia"/>
        </w:rPr>
        <w:t>累年十分钟平均最大风速：</w:t>
      </w:r>
      <w:r>
        <w:rPr>
          <w:rFonts w:asciiTheme="minorEastAsia" w:hAnsiTheme="minorEastAsia" w:eastAsiaTheme="minorEastAsia"/>
        </w:rPr>
        <w:t>20.3m/s</w:t>
      </w:r>
    </w:p>
    <w:p w14:paraId="70883596">
      <w:pPr>
        <w:spacing w:line="500" w:lineRule="exact"/>
        <w:ind w:firstLine="480" w:firstLineChars="200"/>
        <w:rPr>
          <w:rFonts w:hint="eastAsia" w:asciiTheme="minorEastAsia" w:hAnsiTheme="minorEastAsia" w:eastAsiaTheme="minorEastAsia"/>
        </w:rPr>
      </w:pPr>
      <w:r>
        <w:rPr>
          <w:rFonts w:hint="eastAsia" w:asciiTheme="minorEastAsia" w:hAnsiTheme="minorEastAsia" w:eastAsiaTheme="minorEastAsia"/>
        </w:rPr>
        <w:t>累年瞬时最大风速：</w:t>
      </w:r>
      <w:r>
        <w:rPr>
          <w:rFonts w:asciiTheme="minorEastAsia" w:hAnsiTheme="minorEastAsia" w:eastAsiaTheme="minorEastAsia"/>
        </w:rPr>
        <w:t>37m/s</w:t>
      </w:r>
    </w:p>
    <w:p w14:paraId="347CABF6">
      <w:pPr>
        <w:spacing w:line="500" w:lineRule="exact"/>
        <w:ind w:firstLine="480" w:firstLineChars="200"/>
        <w:rPr>
          <w:rFonts w:hint="eastAsia" w:asciiTheme="minorEastAsia" w:hAnsiTheme="minorEastAsia" w:eastAsiaTheme="minorEastAsia"/>
        </w:rPr>
      </w:pPr>
      <w:r>
        <w:rPr>
          <w:rFonts w:hint="eastAsia" w:asciiTheme="minorEastAsia" w:hAnsiTheme="minorEastAsia" w:eastAsiaTheme="minorEastAsia"/>
        </w:rPr>
        <w:t>全年主导风向：</w:t>
      </w:r>
      <w:r>
        <w:rPr>
          <w:rFonts w:asciiTheme="minorEastAsia" w:hAnsiTheme="minorEastAsia" w:eastAsiaTheme="minorEastAsia"/>
        </w:rPr>
        <w:t>SE</w:t>
      </w:r>
      <w:r>
        <w:rPr>
          <w:rFonts w:hint="eastAsia" w:asciiTheme="minorEastAsia" w:hAnsiTheme="minorEastAsia" w:eastAsiaTheme="minorEastAsia"/>
        </w:rPr>
        <w:t>（</w:t>
      </w:r>
      <w:r>
        <w:rPr>
          <w:rFonts w:asciiTheme="minorEastAsia" w:hAnsiTheme="minorEastAsia" w:eastAsiaTheme="minorEastAsia"/>
        </w:rPr>
        <w:t>12%</w:t>
      </w:r>
      <w:r>
        <w:rPr>
          <w:rFonts w:hint="eastAsia" w:asciiTheme="minorEastAsia" w:hAnsiTheme="minorEastAsia" w:eastAsiaTheme="minorEastAsia"/>
        </w:rPr>
        <w:t>）</w:t>
      </w:r>
    </w:p>
    <w:p w14:paraId="2DDDC892">
      <w:pPr>
        <w:spacing w:line="500" w:lineRule="exact"/>
        <w:ind w:firstLine="480" w:firstLineChars="200"/>
        <w:rPr>
          <w:rFonts w:hint="eastAsia" w:asciiTheme="minorEastAsia" w:hAnsiTheme="minorEastAsia" w:eastAsiaTheme="minorEastAsia"/>
        </w:rPr>
      </w:pPr>
      <w:r>
        <w:rPr>
          <w:rFonts w:hint="eastAsia" w:asciiTheme="minorEastAsia" w:hAnsiTheme="minorEastAsia" w:eastAsiaTheme="minorEastAsia"/>
        </w:rPr>
        <w:t>夏季主导风向：</w:t>
      </w:r>
      <w:r>
        <w:rPr>
          <w:rFonts w:asciiTheme="minorEastAsia" w:hAnsiTheme="minorEastAsia" w:eastAsiaTheme="minorEastAsia"/>
        </w:rPr>
        <w:t>SE</w:t>
      </w:r>
    </w:p>
    <w:p w14:paraId="30645877">
      <w:pPr>
        <w:spacing w:line="500" w:lineRule="exact"/>
        <w:ind w:firstLine="480" w:firstLineChars="200"/>
        <w:rPr>
          <w:rFonts w:hint="eastAsia" w:asciiTheme="minorEastAsia" w:hAnsiTheme="minorEastAsia" w:eastAsiaTheme="minorEastAsia"/>
        </w:rPr>
      </w:pPr>
      <w:r>
        <w:rPr>
          <w:rFonts w:hint="eastAsia" w:asciiTheme="minorEastAsia" w:hAnsiTheme="minorEastAsia" w:eastAsiaTheme="minorEastAsia"/>
        </w:rPr>
        <w:t>冬季主导风向：</w:t>
      </w:r>
      <w:r>
        <w:rPr>
          <w:rFonts w:asciiTheme="minorEastAsia" w:hAnsiTheme="minorEastAsia" w:eastAsiaTheme="minorEastAsia"/>
        </w:rPr>
        <w:t>NW</w:t>
      </w:r>
    </w:p>
    <w:p w14:paraId="14A29564">
      <w:pPr>
        <w:spacing w:line="500" w:lineRule="exact"/>
        <w:rPr>
          <w:rFonts w:hint="eastAsia" w:asciiTheme="minorEastAsia" w:hAnsiTheme="minorEastAsia" w:eastAsiaTheme="minorEastAsia"/>
        </w:rPr>
      </w:pPr>
      <w:r>
        <w:rPr>
          <w:rFonts w:asciiTheme="minorEastAsia" w:hAnsiTheme="minorEastAsia" w:eastAsiaTheme="minorEastAsia"/>
        </w:rPr>
        <w:t xml:space="preserve">2.3 </w:t>
      </w:r>
      <w:r>
        <w:rPr>
          <w:rFonts w:hint="eastAsia" w:asciiTheme="minorEastAsia" w:hAnsiTheme="minorEastAsia" w:eastAsiaTheme="minorEastAsia"/>
        </w:rPr>
        <w:t>地震烈度</w:t>
      </w:r>
    </w:p>
    <w:p w14:paraId="3C49CDBB">
      <w:pPr>
        <w:spacing w:line="500" w:lineRule="exact"/>
        <w:ind w:firstLine="480" w:firstLineChars="200"/>
        <w:rPr>
          <w:rFonts w:hint="eastAsia" w:asciiTheme="minorEastAsia" w:hAnsiTheme="minorEastAsia" w:eastAsiaTheme="minorEastAsia"/>
        </w:rPr>
      </w:pPr>
      <w:r>
        <w:rPr>
          <w:rFonts w:hint="eastAsia" w:asciiTheme="minorEastAsia" w:hAnsiTheme="minorEastAsia" w:eastAsiaTheme="minorEastAsia"/>
        </w:rPr>
        <w:t>厂区地震基本烈度为Ⅵ度，地震动峰值加速度</w:t>
      </w:r>
      <w:r>
        <w:rPr>
          <w:rFonts w:asciiTheme="minorEastAsia" w:hAnsiTheme="minorEastAsia" w:eastAsiaTheme="minorEastAsia"/>
        </w:rPr>
        <w:t>0.05g</w:t>
      </w:r>
      <w:r>
        <w:rPr>
          <w:rFonts w:hint="eastAsia" w:asciiTheme="minorEastAsia" w:hAnsiTheme="minorEastAsia" w:eastAsiaTheme="minorEastAsia"/>
        </w:rPr>
        <w:t>。</w:t>
      </w:r>
    </w:p>
    <w:p w14:paraId="766665CF">
      <w:pPr>
        <w:spacing w:line="500" w:lineRule="exact"/>
        <w:rPr>
          <w:rFonts w:hint="eastAsia" w:asciiTheme="minorEastAsia" w:hAnsiTheme="minorEastAsia" w:eastAsiaTheme="minorEastAsia"/>
        </w:rPr>
      </w:pPr>
      <w:r>
        <w:rPr>
          <w:rFonts w:asciiTheme="minorEastAsia" w:hAnsiTheme="minorEastAsia" w:eastAsiaTheme="minorEastAsia"/>
        </w:rPr>
        <w:t xml:space="preserve">2.4 </w:t>
      </w:r>
      <w:r>
        <w:rPr>
          <w:rFonts w:hint="eastAsia" w:asciiTheme="minorEastAsia" w:hAnsiTheme="minorEastAsia" w:eastAsiaTheme="minorEastAsia"/>
        </w:rPr>
        <w:t>电源条件：</w:t>
      </w:r>
    </w:p>
    <w:p w14:paraId="515C9F19">
      <w:pPr>
        <w:spacing w:line="500" w:lineRule="exact"/>
        <w:ind w:firstLine="480" w:firstLineChars="200"/>
        <w:rPr>
          <w:rFonts w:hint="eastAsia" w:asciiTheme="minorEastAsia" w:hAnsiTheme="minorEastAsia" w:eastAsiaTheme="minorEastAsia"/>
        </w:rPr>
      </w:pPr>
      <w:r>
        <w:rPr>
          <w:rFonts w:hint="eastAsia" w:asciiTheme="minorEastAsia" w:hAnsiTheme="minorEastAsia" w:eastAsiaTheme="minorEastAsia"/>
        </w:rPr>
        <w:t>中压系统为</w:t>
      </w:r>
      <w:r>
        <w:rPr>
          <w:rFonts w:asciiTheme="minorEastAsia" w:hAnsiTheme="minorEastAsia" w:eastAsiaTheme="minorEastAsia"/>
        </w:rPr>
        <w:t xml:space="preserve"> 10kV</w:t>
      </w:r>
      <w:r>
        <w:rPr>
          <w:rFonts w:hint="eastAsia" w:asciiTheme="minorEastAsia" w:hAnsiTheme="minorEastAsia" w:eastAsiaTheme="minorEastAsia"/>
        </w:rPr>
        <w:t>、三相三线、</w:t>
      </w:r>
      <w:r>
        <w:rPr>
          <w:rFonts w:asciiTheme="minorEastAsia" w:hAnsiTheme="minorEastAsia" w:eastAsiaTheme="minorEastAsia"/>
        </w:rPr>
        <w:t>50Hz</w:t>
      </w:r>
      <w:r>
        <w:rPr>
          <w:rFonts w:hint="eastAsia" w:asciiTheme="minorEastAsia" w:hAnsiTheme="minorEastAsia" w:eastAsiaTheme="minorEastAsia"/>
        </w:rPr>
        <w:t>；额定值</w:t>
      </w:r>
      <w:r>
        <w:rPr>
          <w:rFonts w:asciiTheme="minorEastAsia" w:hAnsiTheme="minorEastAsia" w:eastAsiaTheme="minorEastAsia"/>
        </w:rPr>
        <w:t>200kW</w:t>
      </w:r>
      <w:r>
        <w:rPr>
          <w:rFonts w:hint="eastAsia" w:asciiTheme="minorEastAsia" w:hAnsiTheme="minorEastAsia" w:eastAsiaTheme="minorEastAsia"/>
        </w:rPr>
        <w:t>及以上电动机的额定电压为</w:t>
      </w:r>
      <w:r>
        <w:rPr>
          <w:rFonts w:asciiTheme="minorEastAsia" w:hAnsiTheme="minorEastAsia" w:eastAsiaTheme="minorEastAsia"/>
        </w:rPr>
        <w:t>10kV</w:t>
      </w:r>
      <w:r>
        <w:rPr>
          <w:rFonts w:hint="eastAsia" w:asciiTheme="minorEastAsia" w:hAnsiTheme="minorEastAsia" w:eastAsiaTheme="minorEastAsia"/>
        </w:rPr>
        <w:t>。</w:t>
      </w:r>
    </w:p>
    <w:p w14:paraId="6950674F">
      <w:pPr>
        <w:spacing w:line="500" w:lineRule="exact"/>
        <w:ind w:firstLine="480" w:firstLineChars="200"/>
        <w:rPr>
          <w:rFonts w:hint="eastAsia" w:asciiTheme="minorEastAsia" w:hAnsiTheme="minorEastAsia" w:eastAsiaTheme="minorEastAsia"/>
        </w:rPr>
      </w:pPr>
      <w:r>
        <w:rPr>
          <w:rFonts w:hint="eastAsia" w:asciiTheme="minorEastAsia" w:hAnsiTheme="minorEastAsia" w:eastAsiaTheme="minorEastAsia"/>
        </w:rPr>
        <w:t>低压交流电压系统</w:t>
      </w:r>
      <w:r>
        <w:rPr>
          <w:rFonts w:asciiTheme="minorEastAsia" w:hAnsiTheme="minorEastAsia" w:eastAsiaTheme="minorEastAsia"/>
        </w:rPr>
        <w:t>(</w:t>
      </w:r>
      <w:r>
        <w:rPr>
          <w:rFonts w:hint="eastAsia" w:asciiTheme="minorEastAsia" w:hAnsiTheme="minorEastAsia" w:eastAsiaTheme="minorEastAsia"/>
        </w:rPr>
        <w:t>包括保安电源</w:t>
      </w:r>
      <w:r>
        <w:rPr>
          <w:rFonts w:asciiTheme="minorEastAsia" w:hAnsiTheme="minorEastAsia" w:eastAsiaTheme="minorEastAsia"/>
        </w:rPr>
        <w:t>)</w:t>
      </w:r>
      <w:r>
        <w:rPr>
          <w:rFonts w:hint="eastAsia" w:asciiTheme="minorEastAsia" w:hAnsiTheme="minorEastAsia" w:eastAsiaTheme="minorEastAsia"/>
        </w:rPr>
        <w:t>为</w:t>
      </w:r>
      <w:r>
        <w:rPr>
          <w:rFonts w:asciiTheme="minorEastAsia" w:hAnsiTheme="minorEastAsia" w:eastAsiaTheme="minorEastAsia"/>
        </w:rPr>
        <w:t>380V</w:t>
      </w:r>
      <w:r>
        <w:rPr>
          <w:rFonts w:hint="eastAsia" w:asciiTheme="minorEastAsia" w:hAnsiTheme="minorEastAsia" w:eastAsiaTheme="minorEastAsia"/>
        </w:rPr>
        <w:t>、三相三线、</w:t>
      </w:r>
      <w:r>
        <w:rPr>
          <w:rFonts w:asciiTheme="minorEastAsia" w:hAnsiTheme="minorEastAsia" w:eastAsiaTheme="minorEastAsia"/>
        </w:rPr>
        <w:t>50Hz</w:t>
      </w:r>
      <w:r>
        <w:rPr>
          <w:rFonts w:hint="eastAsia" w:asciiTheme="minorEastAsia" w:hAnsiTheme="minorEastAsia" w:eastAsiaTheme="minorEastAsia"/>
        </w:rPr>
        <w:t>；额定值</w:t>
      </w:r>
      <w:r>
        <w:rPr>
          <w:rFonts w:asciiTheme="minorEastAsia" w:hAnsiTheme="minorEastAsia" w:eastAsiaTheme="minorEastAsia"/>
        </w:rPr>
        <w:t>200kW</w:t>
      </w:r>
      <w:r>
        <w:rPr>
          <w:rFonts w:hint="eastAsia" w:asciiTheme="minorEastAsia" w:hAnsiTheme="minorEastAsia" w:eastAsiaTheme="minorEastAsia"/>
        </w:rPr>
        <w:t>以下电动机的额定电压为</w:t>
      </w:r>
      <w:r>
        <w:rPr>
          <w:rFonts w:asciiTheme="minorEastAsia" w:hAnsiTheme="minorEastAsia" w:eastAsiaTheme="minorEastAsia"/>
        </w:rPr>
        <w:t>380V</w:t>
      </w:r>
      <w:r>
        <w:rPr>
          <w:rFonts w:hint="eastAsia" w:asciiTheme="minorEastAsia" w:hAnsiTheme="minorEastAsia" w:eastAsiaTheme="minorEastAsia"/>
        </w:rPr>
        <w:t>；交流控制电压为单相</w:t>
      </w:r>
      <w:r>
        <w:rPr>
          <w:rFonts w:asciiTheme="minorEastAsia" w:hAnsiTheme="minorEastAsia" w:eastAsiaTheme="minorEastAsia"/>
        </w:rPr>
        <w:t>380V</w:t>
      </w:r>
      <w:r>
        <w:rPr>
          <w:rFonts w:hint="eastAsia" w:asciiTheme="minorEastAsia" w:hAnsiTheme="minorEastAsia" w:eastAsiaTheme="minorEastAsia"/>
        </w:rPr>
        <w:t>。</w:t>
      </w:r>
    </w:p>
    <w:p w14:paraId="4C982AC0">
      <w:pPr>
        <w:spacing w:line="500" w:lineRule="exact"/>
        <w:ind w:firstLine="480" w:firstLineChars="200"/>
        <w:rPr>
          <w:rFonts w:hint="eastAsia" w:asciiTheme="minorEastAsia" w:hAnsiTheme="minorEastAsia" w:eastAsiaTheme="minorEastAsia"/>
        </w:rPr>
      </w:pPr>
      <w:r>
        <w:rPr>
          <w:rFonts w:hint="eastAsia" w:asciiTheme="minorEastAsia" w:hAnsiTheme="minorEastAsia" w:eastAsiaTheme="minorEastAsia"/>
        </w:rPr>
        <w:t>直流控制电源电压为</w:t>
      </w:r>
      <w:r>
        <w:rPr>
          <w:rFonts w:asciiTheme="minorEastAsia" w:hAnsiTheme="minorEastAsia" w:eastAsiaTheme="minorEastAsia"/>
        </w:rPr>
        <w:t>110V</w:t>
      </w:r>
      <w:r>
        <w:rPr>
          <w:rFonts w:hint="eastAsia" w:asciiTheme="minorEastAsia" w:hAnsiTheme="minorEastAsia" w:eastAsiaTheme="minorEastAsia"/>
        </w:rPr>
        <w:t>，来自直流蓄电池系统，电压变化范围从</w:t>
      </w:r>
      <w:r>
        <w:rPr>
          <w:rFonts w:asciiTheme="minorEastAsia" w:hAnsiTheme="minorEastAsia" w:eastAsiaTheme="minorEastAsia"/>
        </w:rPr>
        <w:t>94V</w:t>
      </w:r>
      <w:r>
        <w:rPr>
          <w:rFonts w:hint="eastAsia" w:asciiTheme="minorEastAsia" w:hAnsiTheme="minorEastAsia" w:eastAsiaTheme="minorEastAsia"/>
        </w:rPr>
        <w:t>到</w:t>
      </w:r>
      <w:r>
        <w:rPr>
          <w:rFonts w:asciiTheme="minorEastAsia" w:hAnsiTheme="minorEastAsia" w:eastAsiaTheme="minorEastAsia"/>
        </w:rPr>
        <w:t>121V</w:t>
      </w:r>
      <w:r>
        <w:rPr>
          <w:rFonts w:hint="eastAsia" w:asciiTheme="minorEastAsia" w:hAnsiTheme="minorEastAsia" w:eastAsiaTheme="minorEastAsia"/>
        </w:rPr>
        <w:t>。</w:t>
      </w:r>
    </w:p>
    <w:p w14:paraId="04ACD48E">
      <w:pPr>
        <w:spacing w:line="500" w:lineRule="exact"/>
        <w:ind w:firstLine="480" w:firstLineChars="200"/>
        <w:rPr>
          <w:rFonts w:hint="eastAsia" w:asciiTheme="minorEastAsia" w:hAnsiTheme="minorEastAsia" w:eastAsiaTheme="minorEastAsia"/>
        </w:rPr>
      </w:pPr>
      <w:r>
        <w:rPr>
          <w:rFonts w:hint="eastAsia" w:asciiTheme="minorEastAsia" w:hAnsiTheme="minorEastAsia" w:eastAsiaTheme="minorEastAsia"/>
        </w:rPr>
        <w:t>直流动力电源电压为</w:t>
      </w:r>
      <w:r>
        <w:rPr>
          <w:rFonts w:asciiTheme="minorEastAsia" w:hAnsiTheme="minorEastAsia" w:eastAsiaTheme="minorEastAsia"/>
        </w:rPr>
        <w:t>220V</w:t>
      </w:r>
      <w:r>
        <w:rPr>
          <w:rFonts w:hint="eastAsia" w:asciiTheme="minorEastAsia" w:hAnsiTheme="minorEastAsia" w:eastAsiaTheme="minorEastAsia"/>
        </w:rPr>
        <w:t>，来自直流蓄电池系统，电压变化范围从</w:t>
      </w:r>
      <w:r>
        <w:rPr>
          <w:rFonts w:asciiTheme="minorEastAsia" w:hAnsiTheme="minorEastAsia" w:eastAsiaTheme="minorEastAsia"/>
        </w:rPr>
        <w:t>192V</w:t>
      </w:r>
      <w:r>
        <w:rPr>
          <w:rFonts w:hint="eastAsia" w:asciiTheme="minorEastAsia" w:hAnsiTheme="minorEastAsia" w:eastAsiaTheme="minorEastAsia"/>
        </w:rPr>
        <w:t>到</w:t>
      </w:r>
      <w:r>
        <w:rPr>
          <w:rFonts w:asciiTheme="minorEastAsia" w:hAnsiTheme="minorEastAsia" w:eastAsiaTheme="minorEastAsia"/>
        </w:rPr>
        <w:t>248V</w:t>
      </w:r>
      <w:r>
        <w:rPr>
          <w:rFonts w:hint="eastAsia" w:asciiTheme="minorEastAsia" w:hAnsiTheme="minorEastAsia" w:eastAsiaTheme="minorEastAsia"/>
        </w:rPr>
        <w:t>。应急直流油泵的电机额定电压为</w:t>
      </w:r>
      <w:r>
        <w:rPr>
          <w:rFonts w:asciiTheme="minorEastAsia" w:hAnsiTheme="minorEastAsia" w:eastAsiaTheme="minorEastAsia"/>
        </w:rPr>
        <w:t>220V</w:t>
      </w:r>
      <w:r>
        <w:rPr>
          <w:rFonts w:hint="eastAsia" w:asciiTheme="minorEastAsia" w:hAnsiTheme="minorEastAsia" w:eastAsiaTheme="minorEastAsia"/>
        </w:rPr>
        <w:t>直流。</w:t>
      </w:r>
    </w:p>
    <w:p w14:paraId="75630607">
      <w:pPr>
        <w:spacing w:line="500" w:lineRule="exact"/>
        <w:ind w:firstLine="480" w:firstLineChars="200"/>
        <w:rPr>
          <w:rFonts w:hint="eastAsia" w:asciiTheme="minorEastAsia" w:hAnsiTheme="minorEastAsia" w:eastAsiaTheme="minorEastAsia"/>
        </w:rPr>
      </w:pPr>
      <w:r>
        <w:rPr>
          <w:rFonts w:hint="eastAsia" w:asciiTheme="minorEastAsia" w:hAnsiTheme="minorEastAsia" w:eastAsiaTheme="minorEastAsia"/>
        </w:rPr>
        <w:t>设备照明和维修电压：</w:t>
      </w:r>
    </w:p>
    <w:p w14:paraId="72EB2E74">
      <w:pPr>
        <w:spacing w:line="500" w:lineRule="exact"/>
        <w:ind w:firstLine="480" w:firstLineChars="200"/>
        <w:rPr>
          <w:rFonts w:hint="eastAsia" w:asciiTheme="minorEastAsia" w:hAnsiTheme="minorEastAsia" w:eastAsiaTheme="minorEastAsia"/>
        </w:rPr>
      </w:pPr>
      <w:r>
        <w:rPr>
          <w:rFonts w:hint="eastAsia" w:asciiTheme="minorEastAsia" w:hAnsiTheme="minorEastAsia" w:eastAsiaTheme="minorEastAsia"/>
        </w:rPr>
        <w:t>设备照明应由单独的</w:t>
      </w:r>
      <w:r>
        <w:rPr>
          <w:rFonts w:asciiTheme="minorEastAsia" w:hAnsiTheme="minorEastAsia" w:eastAsiaTheme="minorEastAsia"/>
        </w:rPr>
        <w:t>380/220V</w:t>
      </w:r>
      <w:r>
        <w:rPr>
          <w:rFonts w:hint="eastAsia" w:asciiTheme="minorEastAsia" w:hAnsiTheme="minorEastAsia" w:eastAsiaTheme="minorEastAsia"/>
        </w:rPr>
        <w:t>照明变压器引出。</w:t>
      </w:r>
    </w:p>
    <w:p w14:paraId="43621858">
      <w:pPr>
        <w:spacing w:line="500" w:lineRule="exact"/>
        <w:ind w:firstLine="480" w:firstLineChars="200"/>
        <w:rPr>
          <w:rFonts w:hint="eastAsia" w:asciiTheme="minorEastAsia" w:hAnsiTheme="minorEastAsia" w:eastAsiaTheme="minorEastAsia"/>
        </w:rPr>
      </w:pPr>
      <w:r>
        <w:rPr>
          <w:rFonts w:hint="eastAsia" w:asciiTheme="minorEastAsia" w:hAnsiTheme="minorEastAsia" w:eastAsiaTheme="minorEastAsia"/>
        </w:rPr>
        <w:t>维修插座电源额定电压为</w:t>
      </w:r>
      <w:r>
        <w:rPr>
          <w:rFonts w:asciiTheme="minorEastAsia" w:hAnsiTheme="minorEastAsia" w:eastAsiaTheme="minorEastAsia"/>
        </w:rPr>
        <w:t>380V</w:t>
      </w:r>
      <w:r>
        <w:rPr>
          <w:rFonts w:hint="eastAsia" w:asciiTheme="minorEastAsia" w:hAnsiTheme="minorEastAsia" w:eastAsiaTheme="minorEastAsia"/>
        </w:rPr>
        <w:t>、</w:t>
      </w:r>
      <w:r>
        <w:rPr>
          <w:rFonts w:asciiTheme="minorEastAsia" w:hAnsiTheme="minorEastAsia" w:eastAsiaTheme="minorEastAsia"/>
        </w:rPr>
        <w:t>70A</w:t>
      </w:r>
      <w:r>
        <w:rPr>
          <w:rFonts w:hint="eastAsia" w:asciiTheme="minorEastAsia" w:hAnsiTheme="minorEastAsia" w:eastAsiaTheme="minorEastAsia"/>
        </w:rPr>
        <w:t>、三相四线、</w:t>
      </w:r>
      <w:r>
        <w:rPr>
          <w:rFonts w:asciiTheme="minorEastAsia" w:hAnsiTheme="minorEastAsia" w:eastAsiaTheme="minorEastAsia"/>
        </w:rPr>
        <w:t>50Hz</w:t>
      </w:r>
      <w:r>
        <w:rPr>
          <w:rFonts w:hint="eastAsia" w:asciiTheme="minorEastAsia" w:hAnsiTheme="minorEastAsia" w:eastAsiaTheme="minorEastAsia"/>
        </w:rPr>
        <w:t>；单相</w:t>
      </w:r>
      <w:r>
        <w:rPr>
          <w:rFonts w:asciiTheme="minorEastAsia" w:hAnsiTheme="minorEastAsia" w:eastAsiaTheme="minorEastAsia"/>
        </w:rPr>
        <w:t>220V</w:t>
      </w:r>
      <w:r>
        <w:rPr>
          <w:rFonts w:hint="eastAsia" w:asciiTheme="minorEastAsia" w:hAnsiTheme="minorEastAsia" w:eastAsiaTheme="minorEastAsia"/>
        </w:rPr>
        <w:t>、</w:t>
      </w:r>
      <w:r>
        <w:rPr>
          <w:rFonts w:asciiTheme="minorEastAsia" w:hAnsiTheme="minorEastAsia" w:eastAsiaTheme="minorEastAsia"/>
        </w:rPr>
        <w:t>20A</w:t>
      </w:r>
      <w:r>
        <w:rPr>
          <w:rFonts w:hint="eastAsia" w:asciiTheme="minorEastAsia" w:hAnsiTheme="minorEastAsia" w:eastAsiaTheme="minorEastAsia"/>
        </w:rPr>
        <w:t>。</w:t>
      </w:r>
    </w:p>
    <w:p w14:paraId="254CB9B8">
      <w:pPr>
        <w:spacing w:line="500" w:lineRule="exact"/>
        <w:ind w:firstLine="480" w:firstLineChars="200"/>
        <w:rPr>
          <w:rFonts w:hint="eastAsia" w:asciiTheme="minorEastAsia" w:hAnsiTheme="minorEastAsia" w:eastAsiaTheme="minorEastAsia"/>
        </w:rPr>
      </w:pPr>
      <w:r>
        <w:rPr>
          <w:rFonts w:hint="eastAsia" w:asciiTheme="minorEastAsia" w:hAnsiTheme="minorEastAsia" w:eastAsiaTheme="minorEastAsia"/>
        </w:rPr>
        <w:t>电动机采用</w:t>
      </w:r>
      <w:r>
        <w:rPr>
          <w:rFonts w:asciiTheme="minorEastAsia" w:hAnsiTheme="minorEastAsia" w:eastAsiaTheme="minorEastAsia"/>
        </w:rPr>
        <w:t>F</w:t>
      </w:r>
      <w:r>
        <w:rPr>
          <w:rFonts w:hint="eastAsia" w:asciiTheme="minorEastAsia" w:hAnsiTheme="minorEastAsia" w:eastAsiaTheme="minorEastAsia"/>
        </w:rPr>
        <w:t>级绝缘，温升按</w:t>
      </w:r>
      <w:r>
        <w:rPr>
          <w:rFonts w:asciiTheme="minorEastAsia" w:hAnsiTheme="minorEastAsia" w:eastAsiaTheme="minorEastAsia"/>
        </w:rPr>
        <w:t>B</w:t>
      </w:r>
      <w:r>
        <w:rPr>
          <w:rFonts w:hint="eastAsia" w:asciiTheme="minorEastAsia" w:hAnsiTheme="minorEastAsia" w:eastAsiaTheme="minorEastAsia"/>
        </w:rPr>
        <w:t>级考核。</w:t>
      </w:r>
    </w:p>
    <w:p w14:paraId="0B7D81D7">
      <w:pPr>
        <w:spacing w:line="500" w:lineRule="exact"/>
        <w:rPr>
          <w:rFonts w:hint="eastAsia" w:asciiTheme="minorEastAsia" w:hAnsiTheme="minorEastAsia" w:eastAsiaTheme="minorEastAsia"/>
        </w:rPr>
      </w:pPr>
      <w:r>
        <w:rPr>
          <w:rFonts w:asciiTheme="minorEastAsia" w:hAnsiTheme="minorEastAsia" w:eastAsiaTheme="minorEastAsia"/>
        </w:rPr>
        <w:t>2.5 集控室、电子设备间布置</w:t>
      </w:r>
    </w:p>
    <w:p w14:paraId="68EADF35">
      <w:pPr>
        <w:spacing w:line="500" w:lineRule="exact"/>
        <w:ind w:firstLine="480" w:firstLineChars="200"/>
        <w:rPr>
          <w:rFonts w:hint="eastAsia" w:asciiTheme="minorEastAsia" w:hAnsiTheme="minorEastAsia" w:eastAsiaTheme="minorEastAsia"/>
        </w:rPr>
      </w:pPr>
      <w:r>
        <w:rPr>
          <w:rFonts w:asciiTheme="minorEastAsia" w:hAnsiTheme="minorEastAsia" w:eastAsiaTheme="minorEastAsia"/>
        </w:rPr>
        <w:t>集控室设在集控楼同汽机房运转层同一标高（1</w:t>
      </w:r>
      <w:r>
        <w:rPr>
          <w:rFonts w:hint="eastAsia" w:asciiTheme="minorEastAsia" w:hAnsiTheme="minorEastAsia" w:eastAsiaTheme="minorEastAsia"/>
        </w:rPr>
        <w:t>7</w:t>
      </w:r>
      <w:r>
        <w:rPr>
          <w:rFonts w:asciiTheme="minorEastAsia" w:hAnsiTheme="minorEastAsia" w:eastAsiaTheme="minorEastAsia"/>
        </w:rPr>
        <w:t>米层），室内面积约为</w:t>
      </w:r>
      <w:r>
        <w:rPr>
          <w:rFonts w:hint="eastAsia" w:asciiTheme="minorEastAsia" w:hAnsiTheme="minorEastAsia" w:eastAsiaTheme="minorEastAsia"/>
        </w:rPr>
        <w:t>1</w:t>
      </w:r>
      <w:r>
        <w:rPr>
          <w:rFonts w:asciiTheme="minorEastAsia" w:hAnsiTheme="minorEastAsia" w:eastAsiaTheme="minorEastAsia"/>
        </w:rPr>
        <w:t>47m</w:t>
      </w:r>
      <w:r>
        <w:rPr>
          <w:rFonts w:asciiTheme="minorEastAsia" w:hAnsiTheme="minorEastAsia" w:eastAsiaTheme="minorEastAsia"/>
          <w:vertAlign w:val="superscript"/>
        </w:rPr>
        <w:t>2</w:t>
      </w:r>
      <w:r>
        <w:rPr>
          <w:rFonts w:asciiTheme="minorEastAsia" w:hAnsiTheme="minorEastAsia" w:eastAsiaTheme="minorEastAsia"/>
        </w:rPr>
        <w:t>。集控室的净空高度</w:t>
      </w:r>
      <w:r>
        <w:rPr>
          <w:rFonts w:hint="eastAsia" w:asciiTheme="minorEastAsia" w:hAnsiTheme="minorEastAsia" w:eastAsiaTheme="minorEastAsia"/>
        </w:rPr>
        <w:t>至少为4</w:t>
      </w:r>
      <w:r>
        <w:rPr>
          <w:rFonts w:asciiTheme="minorEastAsia" w:hAnsiTheme="minorEastAsia" w:eastAsiaTheme="minorEastAsia"/>
        </w:rPr>
        <w:t>.15米。毗邻集中控制室设有</w:t>
      </w:r>
      <w:r>
        <w:rPr>
          <w:rFonts w:hint="eastAsia" w:asciiTheme="minorEastAsia" w:hAnsiTheme="minorEastAsia" w:eastAsiaTheme="minorEastAsia"/>
        </w:rPr>
        <w:t>打印机室、交接班室、工程师室、签票间、SIS机房、巡检室、会议室、运行餐厅、更衣室和热控配电间</w:t>
      </w:r>
      <w:r>
        <w:rPr>
          <w:rFonts w:asciiTheme="minorEastAsia" w:hAnsiTheme="minorEastAsia" w:eastAsiaTheme="minorEastAsia"/>
        </w:rPr>
        <w:t>等。</w:t>
      </w:r>
    </w:p>
    <w:p w14:paraId="1581E6BF">
      <w:pPr>
        <w:spacing w:line="500" w:lineRule="exact"/>
        <w:ind w:firstLine="480" w:firstLineChars="200"/>
        <w:rPr>
          <w:rFonts w:hint="eastAsia" w:ascii="宋体" w:hAnsi="宋体"/>
          <w:szCs w:val="24"/>
        </w:rPr>
      </w:pPr>
      <w:r>
        <w:rPr>
          <w:rFonts w:ascii="宋体" w:hAnsi="宋体"/>
          <w:szCs w:val="24"/>
        </w:rPr>
        <w:t>集控室内操作台采用</w:t>
      </w:r>
      <w:r>
        <w:rPr>
          <w:rFonts w:hint="eastAsia" w:ascii="宋体" w:hAnsi="宋体"/>
          <w:szCs w:val="24"/>
        </w:rPr>
        <w:t>弧线型</w:t>
      </w:r>
      <w:r>
        <w:rPr>
          <w:rFonts w:ascii="宋体" w:hAnsi="宋体"/>
          <w:szCs w:val="24"/>
        </w:rPr>
        <w:t>布置方式。</w:t>
      </w:r>
    </w:p>
    <w:p w14:paraId="337DF5D8">
      <w:pPr>
        <w:spacing w:line="500" w:lineRule="exact"/>
        <w:ind w:firstLine="480" w:firstLineChars="200"/>
        <w:rPr>
          <w:rFonts w:hint="eastAsia" w:ascii="宋体" w:hAnsi="宋体"/>
          <w:szCs w:val="24"/>
        </w:rPr>
      </w:pPr>
      <w:r>
        <w:rPr>
          <w:rFonts w:ascii="宋体" w:hAnsi="宋体"/>
          <w:szCs w:val="24"/>
        </w:rPr>
        <w:t>在集控室内设有单元机组操作台、大屏幕显示</w:t>
      </w:r>
      <w:r>
        <w:rPr>
          <w:rFonts w:hint="eastAsia" w:ascii="宋体" w:hAnsi="宋体"/>
          <w:szCs w:val="24"/>
        </w:rPr>
        <w:t>盘</w:t>
      </w:r>
      <w:r>
        <w:rPr>
          <w:rFonts w:ascii="宋体" w:hAnsi="宋体"/>
          <w:szCs w:val="24"/>
        </w:rPr>
        <w:t>、值长台等。集控室后排值长台上布置有值长监控站、</w:t>
      </w:r>
      <w:r>
        <w:rPr>
          <w:rFonts w:hint="eastAsia"/>
          <w:szCs w:val="24"/>
        </w:rPr>
        <w:t>MIS</w:t>
      </w:r>
      <w:r>
        <w:rPr>
          <w:rFonts w:hint="eastAsia" w:ascii="宋体" w:hAnsi="宋体"/>
          <w:szCs w:val="24"/>
        </w:rPr>
        <w:t>工作</w:t>
      </w:r>
      <w:r>
        <w:rPr>
          <w:rFonts w:ascii="宋体" w:hAnsi="宋体"/>
          <w:szCs w:val="24"/>
        </w:rPr>
        <w:t>站</w:t>
      </w:r>
      <w:r>
        <w:rPr>
          <w:rFonts w:hint="eastAsia" w:ascii="宋体" w:hAnsi="宋体"/>
          <w:szCs w:val="24"/>
        </w:rPr>
        <w:t>、</w:t>
      </w:r>
      <w:r>
        <w:rPr>
          <w:rFonts w:ascii="宋体" w:hAnsi="宋体"/>
          <w:szCs w:val="24"/>
        </w:rPr>
        <w:t>通讯调度站等；前排操作台布置有单元机组</w:t>
      </w:r>
      <w:r>
        <w:rPr>
          <w:szCs w:val="24"/>
        </w:rPr>
        <w:t>DCS</w:t>
      </w:r>
      <w:r>
        <w:rPr>
          <w:rFonts w:ascii="宋体" w:hAnsi="宋体"/>
          <w:szCs w:val="24"/>
        </w:rPr>
        <w:t>操作员站、</w:t>
      </w:r>
      <w:r>
        <w:rPr>
          <w:szCs w:val="24"/>
        </w:rPr>
        <w:t>DEH</w:t>
      </w:r>
      <w:r>
        <w:rPr>
          <w:rFonts w:ascii="宋体" w:hAnsi="宋体"/>
          <w:szCs w:val="24"/>
        </w:rPr>
        <w:t>操作员站、辅助生产系统</w:t>
      </w:r>
      <w:r>
        <w:rPr>
          <w:szCs w:val="24"/>
        </w:rPr>
        <w:t>BOP</w:t>
      </w:r>
      <w:r>
        <w:rPr>
          <w:rFonts w:ascii="宋体" w:hAnsi="宋体"/>
          <w:szCs w:val="24"/>
        </w:rPr>
        <w:t>操作员站、</w:t>
      </w:r>
      <w:r>
        <w:rPr>
          <w:rFonts w:hint="eastAsia" w:ascii="宋体" w:hAnsi="宋体"/>
          <w:szCs w:val="24"/>
        </w:rPr>
        <w:t>脱硫操作员站</w:t>
      </w:r>
      <w:r>
        <w:rPr>
          <w:rFonts w:ascii="宋体" w:hAnsi="宋体"/>
          <w:szCs w:val="24"/>
        </w:rPr>
        <w:t>等。</w:t>
      </w:r>
    </w:p>
    <w:p w14:paraId="024D2BC0">
      <w:pPr>
        <w:spacing w:line="500" w:lineRule="exact"/>
        <w:ind w:firstLine="480" w:firstLineChars="200"/>
        <w:rPr>
          <w:sz w:val="21"/>
          <w:szCs w:val="21"/>
        </w:rPr>
      </w:pPr>
      <w:r>
        <w:rPr>
          <w:rFonts w:ascii="宋体" w:hAnsi="宋体"/>
          <w:szCs w:val="24"/>
        </w:rPr>
        <w:t>在操作台前共布置</w:t>
      </w:r>
      <w:r>
        <w:rPr>
          <w:rFonts w:hint="eastAsia" w:ascii="宋体" w:hAnsi="宋体"/>
          <w:szCs w:val="24"/>
        </w:rPr>
        <w:t>有</w:t>
      </w:r>
      <w:r>
        <w:rPr>
          <w:rFonts w:hint="eastAsia"/>
          <w:szCs w:val="24"/>
        </w:rPr>
        <w:t>LED</w:t>
      </w:r>
      <w:r>
        <w:rPr>
          <w:rFonts w:ascii="宋体" w:hAnsi="宋体"/>
          <w:szCs w:val="24"/>
        </w:rPr>
        <w:t>大屏幕，</w:t>
      </w:r>
      <w:r>
        <w:rPr>
          <w:rFonts w:hint="eastAsia" w:ascii="宋体" w:hAnsi="宋体"/>
          <w:szCs w:val="24"/>
        </w:rPr>
        <w:t>可以显示</w:t>
      </w:r>
      <w:r>
        <w:rPr>
          <w:szCs w:val="24"/>
        </w:rPr>
        <w:t>DCS</w:t>
      </w:r>
      <w:r>
        <w:rPr>
          <w:rFonts w:ascii="宋体" w:hAnsi="宋体"/>
          <w:szCs w:val="24"/>
        </w:rPr>
        <w:t>画面</w:t>
      </w:r>
      <w:r>
        <w:rPr>
          <w:rFonts w:hint="eastAsia" w:ascii="宋体" w:hAnsi="宋体"/>
          <w:szCs w:val="24"/>
        </w:rPr>
        <w:t>及全</w:t>
      </w:r>
      <w:r>
        <w:rPr>
          <w:rFonts w:ascii="宋体" w:hAnsi="宋体"/>
          <w:szCs w:val="24"/>
        </w:rPr>
        <w:t>厂闭路电视显示（含炉膛火焰）。</w:t>
      </w:r>
      <w:r>
        <w:rPr>
          <w:rFonts w:hint="eastAsia"/>
          <w:szCs w:val="24"/>
        </w:rPr>
        <w:t>LED</w:t>
      </w:r>
      <w:r>
        <w:rPr>
          <w:rFonts w:ascii="宋体" w:hAnsi="宋体"/>
          <w:szCs w:val="24"/>
        </w:rPr>
        <w:t>大屏幕</w:t>
      </w:r>
      <w:r>
        <w:rPr>
          <w:rFonts w:hint="eastAsia" w:ascii="宋体" w:hAnsi="宋体"/>
          <w:szCs w:val="24"/>
        </w:rPr>
        <w:t>墙靠墙布置。</w:t>
      </w:r>
    </w:p>
    <w:p w14:paraId="659414C7">
      <w:pPr>
        <w:spacing w:line="500" w:lineRule="exact"/>
        <w:ind w:firstLine="482" w:firstLineChars="200"/>
        <w:rPr>
          <w:rFonts w:hint="eastAsia" w:asciiTheme="minorEastAsia" w:hAnsiTheme="minorEastAsia" w:eastAsiaTheme="minorEastAsia"/>
          <w:b/>
        </w:rPr>
      </w:pPr>
      <w:r>
        <w:rPr>
          <w:rFonts w:hint="eastAsia" w:asciiTheme="minorEastAsia" w:hAnsiTheme="minorEastAsia" w:eastAsiaTheme="minorEastAsia"/>
          <w:b/>
        </w:rPr>
        <w:t>集控室具体布置见附件1</w:t>
      </w:r>
      <w:r>
        <w:rPr>
          <w:rFonts w:asciiTheme="minorEastAsia" w:hAnsiTheme="minorEastAsia" w:eastAsiaTheme="minorEastAsia"/>
          <w:b/>
        </w:rPr>
        <w:t>1</w:t>
      </w:r>
      <w:r>
        <w:rPr>
          <w:rFonts w:hint="eastAsia" w:asciiTheme="minorEastAsia" w:hAnsiTheme="minorEastAsia" w:eastAsiaTheme="minorEastAsia"/>
          <w:b/>
        </w:rPr>
        <w:t>附图。</w:t>
      </w:r>
    </w:p>
    <w:p w14:paraId="7CEE00B1">
      <w:pPr>
        <w:pStyle w:val="3"/>
        <w:spacing w:before="0" w:after="0" w:line="500" w:lineRule="exact"/>
        <w:rPr>
          <w:rFonts w:ascii="Arial" w:cs="Arial"/>
          <w:snapToGrid/>
          <w:sz w:val="24"/>
        </w:rPr>
      </w:pPr>
      <w:r>
        <w:rPr>
          <w:rFonts w:hint="eastAsia" w:ascii="Arial" w:cs="Arial"/>
          <w:snapToGrid/>
          <w:sz w:val="24"/>
        </w:rPr>
        <w:t>3</w:t>
      </w:r>
      <w:r>
        <w:rPr>
          <w:rFonts w:ascii="Arial" w:cs="Arial"/>
          <w:snapToGrid/>
          <w:sz w:val="24"/>
        </w:rPr>
        <w:tab/>
      </w:r>
      <w:r>
        <w:rPr>
          <w:rFonts w:hint="eastAsia" w:ascii="Arial" w:cs="Arial"/>
          <w:snapToGrid/>
          <w:sz w:val="24"/>
        </w:rPr>
        <w:t>规范和标准</w:t>
      </w:r>
    </w:p>
    <w:p w14:paraId="519D7472">
      <w:pPr>
        <w:widowControl/>
        <w:autoSpaceDE w:val="0"/>
        <w:autoSpaceDN w:val="0"/>
        <w:snapToGrid w:val="0"/>
        <w:spacing w:line="360" w:lineRule="auto"/>
        <w:textAlignment w:val="bottom"/>
        <w:rPr>
          <w:kern w:val="2"/>
          <w:szCs w:val="24"/>
        </w:rPr>
      </w:pPr>
      <w:bookmarkStart w:id="24" w:name="_Toc505887170"/>
      <w:bookmarkStart w:id="25" w:name="_Toc505887263"/>
      <w:r>
        <w:rPr>
          <w:rFonts w:hint="eastAsia"/>
          <w:kern w:val="2"/>
          <w:szCs w:val="24"/>
        </w:rPr>
        <w:t>3.1 本技术规范书中包括的所有设备应遵照以下适用标准和规范进行设计、制造、检验。所采用的标准和规范（包括附件）应为合同期间的最新有效版本，即以招标人发出数字墙LED显示屏订单之日作为采用最新版本的截至日期。</w:t>
      </w:r>
      <w:bookmarkEnd w:id="24"/>
      <w:bookmarkEnd w:id="25"/>
    </w:p>
    <w:p w14:paraId="208913DB">
      <w:pPr>
        <w:widowControl/>
        <w:autoSpaceDE w:val="0"/>
        <w:autoSpaceDN w:val="0"/>
        <w:snapToGrid w:val="0"/>
        <w:spacing w:line="360" w:lineRule="auto"/>
        <w:textAlignment w:val="bottom"/>
        <w:rPr>
          <w:kern w:val="2"/>
          <w:szCs w:val="24"/>
        </w:rPr>
      </w:pPr>
      <w:bookmarkStart w:id="26" w:name="_Toc505887264"/>
      <w:bookmarkStart w:id="27" w:name="_Toc505887171"/>
      <w:r>
        <w:rPr>
          <w:rFonts w:hint="eastAsia"/>
          <w:kern w:val="2"/>
          <w:szCs w:val="24"/>
        </w:rPr>
        <w:t>3.2 如经招标人同意，投标人可根据自身的经验，超越标准和规范中规定的最低限度要求，对其所供设备采用更好的或更经济的设计。</w:t>
      </w:r>
      <w:bookmarkEnd w:id="26"/>
      <w:bookmarkEnd w:id="27"/>
    </w:p>
    <w:p w14:paraId="45CB7540">
      <w:pPr>
        <w:widowControl/>
        <w:autoSpaceDE w:val="0"/>
        <w:autoSpaceDN w:val="0"/>
        <w:snapToGrid w:val="0"/>
        <w:spacing w:line="360" w:lineRule="auto"/>
        <w:textAlignment w:val="bottom"/>
        <w:rPr>
          <w:kern w:val="2"/>
          <w:szCs w:val="24"/>
        </w:rPr>
      </w:pPr>
      <w:bookmarkStart w:id="28" w:name="_Toc505887172"/>
      <w:bookmarkStart w:id="29" w:name="_Toc505887265"/>
      <w:r>
        <w:rPr>
          <w:rFonts w:hint="eastAsia"/>
          <w:kern w:val="2"/>
          <w:szCs w:val="24"/>
        </w:rPr>
        <w:t>3.3 投标人向招标人提供的所有设备和服务应保证遵循所在国和当地的法律、法规以及适用的标准和规范。</w:t>
      </w:r>
      <w:bookmarkEnd w:id="28"/>
      <w:bookmarkEnd w:id="29"/>
    </w:p>
    <w:p w14:paraId="295DF709">
      <w:pPr>
        <w:widowControl/>
        <w:autoSpaceDE w:val="0"/>
        <w:autoSpaceDN w:val="0"/>
        <w:snapToGrid w:val="0"/>
        <w:spacing w:line="360" w:lineRule="auto"/>
        <w:textAlignment w:val="bottom"/>
        <w:rPr>
          <w:kern w:val="2"/>
          <w:szCs w:val="24"/>
        </w:rPr>
      </w:pPr>
      <w:bookmarkStart w:id="30" w:name="_Toc505887266"/>
      <w:bookmarkStart w:id="31" w:name="_Toc505887173"/>
      <w:r>
        <w:rPr>
          <w:rFonts w:hint="eastAsia"/>
          <w:kern w:val="2"/>
          <w:szCs w:val="24"/>
        </w:rPr>
        <w:t>3.4 当遵照的标准和规范与本技术规范书存在明显冲突时，投标人应向招标人指出冲突之处并取得书面意见。</w:t>
      </w:r>
      <w:bookmarkEnd w:id="30"/>
      <w:bookmarkEnd w:id="31"/>
    </w:p>
    <w:p w14:paraId="14DAE57F">
      <w:pPr>
        <w:widowControl/>
        <w:autoSpaceDE w:val="0"/>
        <w:autoSpaceDN w:val="0"/>
        <w:snapToGrid w:val="0"/>
        <w:spacing w:line="360" w:lineRule="auto"/>
        <w:textAlignment w:val="bottom"/>
        <w:rPr>
          <w:kern w:val="2"/>
          <w:szCs w:val="24"/>
        </w:rPr>
      </w:pPr>
      <w:r>
        <w:rPr>
          <w:rFonts w:hint="eastAsia"/>
          <w:kern w:val="2"/>
          <w:szCs w:val="24"/>
        </w:rPr>
        <w:t>3.5 相关规范和标准如下（包括但不限于）</w:t>
      </w:r>
    </w:p>
    <w:p w14:paraId="2CA2E8B8">
      <w:pPr>
        <w:widowControl/>
        <w:autoSpaceDE w:val="0"/>
        <w:autoSpaceDN w:val="0"/>
        <w:snapToGrid w:val="0"/>
        <w:spacing w:line="360" w:lineRule="auto"/>
        <w:textAlignment w:val="bottom"/>
        <w:rPr>
          <w:kern w:val="2"/>
          <w:szCs w:val="24"/>
        </w:rPr>
      </w:pPr>
      <w:r>
        <w:rPr>
          <w:rFonts w:hint="eastAsia"/>
          <w:kern w:val="2"/>
          <w:szCs w:val="24"/>
        </w:rPr>
        <w:t>《发光二极管(LED)显示屏通用规范》    SJ/T11141</w:t>
      </w:r>
    </w:p>
    <w:p w14:paraId="00C69B70">
      <w:pPr>
        <w:widowControl/>
        <w:autoSpaceDE w:val="0"/>
        <w:autoSpaceDN w:val="0"/>
        <w:snapToGrid w:val="0"/>
        <w:spacing w:line="360" w:lineRule="auto"/>
        <w:textAlignment w:val="bottom"/>
        <w:rPr>
          <w:kern w:val="2"/>
          <w:szCs w:val="24"/>
        </w:rPr>
      </w:pPr>
      <w:r>
        <w:rPr>
          <w:rFonts w:hint="eastAsia"/>
          <w:kern w:val="2"/>
          <w:szCs w:val="24"/>
        </w:rPr>
        <w:t>《LED显示屏测试方法》</w:t>
      </w:r>
    </w:p>
    <w:p w14:paraId="5E45BAD4">
      <w:pPr>
        <w:widowControl/>
        <w:autoSpaceDE w:val="0"/>
        <w:autoSpaceDN w:val="0"/>
        <w:snapToGrid w:val="0"/>
        <w:spacing w:line="360" w:lineRule="auto"/>
        <w:textAlignment w:val="bottom"/>
        <w:rPr>
          <w:kern w:val="2"/>
          <w:szCs w:val="24"/>
        </w:rPr>
      </w:pPr>
      <w:r>
        <w:rPr>
          <w:rFonts w:hint="eastAsia"/>
          <w:kern w:val="2"/>
          <w:szCs w:val="24"/>
        </w:rPr>
        <w:t>《计算机信息系统安全保护等级划分准则》    GB17859</w:t>
      </w:r>
    </w:p>
    <w:p w14:paraId="341D3820">
      <w:pPr>
        <w:widowControl/>
        <w:autoSpaceDE w:val="0"/>
        <w:autoSpaceDN w:val="0"/>
        <w:snapToGrid w:val="0"/>
        <w:spacing w:line="360" w:lineRule="auto"/>
        <w:textAlignment w:val="bottom"/>
        <w:rPr>
          <w:kern w:val="2"/>
          <w:szCs w:val="24"/>
        </w:rPr>
      </w:pPr>
      <w:r>
        <w:rPr>
          <w:rFonts w:hint="eastAsia"/>
          <w:kern w:val="2"/>
          <w:szCs w:val="24"/>
        </w:rPr>
        <w:t>《电力子操作工作站机房设计规范》    GB50174-93</w:t>
      </w:r>
    </w:p>
    <w:p w14:paraId="5FFEF226">
      <w:pPr>
        <w:widowControl/>
        <w:autoSpaceDE w:val="0"/>
        <w:autoSpaceDN w:val="0"/>
        <w:snapToGrid w:val="0"/>
        <w:spacing w:line="360" w:lineRule="auto"/>
        <w:textAlignment w:val="bottom"/>
        <w:rPr>
          <w:kern w:val="2"/>
          <w:szCs w:val="24"/>
        </w:rPr>
      </w:pPr>
      <w:r>
        <w:rPr>
          <w:rFonts w:hint="eastAsia"/>
          <w:kern w:val="2"/>
          <w:szCs w:val="24"/>
        </w:rPr>
        <w:t>《国际串行通讯标准》    EIARS-232-C</w:t>
      </w:r>
    </w:p>
    <w:p w14:paraId="529C836E">
      <w:pPr>
        <w:widowControl/>
        <w:autoSpaceDE w:val="0"/>
        <w:autoSpaceDN w:val="0"/>
        <w:snapToGrid w:val="0"/>
        <w:spacing w:line="360" w:lineRule="auto"/>
        <w:textAlignment w:val="bottom"/>
        <w:rPr>
          <w:kern w:val="2"/>
          <w:szCs w:val="24"/>
        </w:rPr>
      </w:pPr>
      <w:r>
        <w:rPr>
          <w:rFonts w:hint="eastAsia"/>
          <w:kern w:val="2"/>
          <w:szCs w:val="24"/>
        </w:rPr>
        <w:t>《工业操作工作站系统安装环境条件》    ZBN18-001</w:t>
      </w:r>
    </w:p>
    <w:p w14:paraId="596AF4D1">
      <w:pPr>
        <w:widowControl/>
        <w:autoSpaceDE w:val="0"/>
        <w:autoSpaceDN w:val="0"/>
        <w:snapToGrid w:val="0"/>
        <w:spacing w:line="360" w:lineRule="auto"/>
        <w:textAlignment w:val="bottom"/>
        <w:rPr>
          <w:kern w:val="2"/>
          <w:szCs w:val="24"/>
        </w:rPr>
      </w:pPr>
      <w:r>
        <w:rPr>
          <w:rFonts w:hint="eastAsia"/>
          <w:kern w:val="2"/>
          <w:szCs w:val="24"/>
        </w:rPr>
        <w:t>《电磁兼容》    GB/T17626</w:t>
      </w:r>
    </w:p>
    <w:p w14:paraId="773ED84E">
      <w:pPr>
        <w:widowControl/>
        <w:autoSpaceDE w:val="0"/>
        <w:autoSpaceDN w:val="0"/>
        <w:snapToGrid w:val="0"/>
        <w:spacing w:line="360" w:lineRule="auto"/>
        <w:textAlignment w:val="bottom"/>
        <w:rPr>
          <w:kern w:val="2"/>
          <w:szCs w:val="24"/>
        </w:rPr>
      </w:pPr>
      <w:r>
        <w:rPr>
          <w:rFonts w:hint="eastAsia"/>
          <w:kern w:val="2"/>
          <w:szCs w:val="24"/>
        </w:rPr>
        <w:t>《远动设备及系统第2部分:工作条件第1篇:电源和电磁兼容性》    GB/T 15153.1</w:t>
      </w:r>
    </w:p>
    <w:p w14:paraId="40FD1522">
      <w:pPr>
        <w:widowControl/>
        <w:autoSpaceDE w:val="0"/>
        <w:autoSpaceDN w:val="0"/>
        <w:snapToGrid w:val="0"/>
        <w:spacing w:line="360" w:lineRule="auto"/>
        <w:textAlignment w:val="bottom"/>
        <w:rPr>
          <w:kern w:val="2"/>
          <w:szCs w:val="24"/>
        </w:rPr>
      </w:pPr>
      <w:r>
        <w:rPr>
          <w:rFonts w:hint="eastAsia"/>
          <w:kern w:val="2"/>
          <w:szCs w:val="24"/>
        </w:rPr>
        <w:t>《远动设备及系统第2部分:工作条件第2篇:环境条件 (气候、机械和其他非电影响因素) 》    GB/T 15153.2</w:t>
      </w:r>
    </w:p>
    <w:p w14:paraId="4820894D">
      <w:pPr>
        <w:widowControl/>
        <w:autoSpaceDE w:val="0"/>
        <w:autoSpaceDN w:val="0"/>
        <w:snapToGrid w:val="0"/>
        <w:spacing w:line="360" w:lineRule="auto"/>
        <w:textAlignment w:val="bottom"/>
        <w:rPr>
          <w:kern w:val="2"/>
          <w:szCs w:val="24"/>
        </w:rPr>
      </w:pPr>
      <w:r>
        <w:rPr>
          <w:rFonts w:hint="eastAsia"/>
          <w:kern w:val="2"/>
          <w:szCs w:val="24"/>
        </w:rPr>
        <w:t>国家标准《建筑物防雷设计规范》    GB50057-94</w:t>
      </w:r>
    </w:p>
    <w:p w14:paraId="2340218C">
      <w:pPr>
        <w:widowControl/>
        <w:autoSpaceDE w:val="0"/>
        <w:autoSpaceDN w:val="0"/>
        <w:snapToGrid w:val="0"/>
        <w:spacing w:line="360" w:lineRule="auto"/>
        <w:textAlignment w:val="bottom"/>
        <w:rPr>
          <w:kern w:val="2"/>
          <w:szCs w:val="24"/>
        </w:rPr>
      </w:pPr>
      <w:r>
        <w:rPr>
          <w:rFonts w:hint="eastAsia"/>
          <w:kern w:val="2"/>
          <w:szCs w:val="24"/>
        </w:rPr>
        <w:t>《计算机信息系统防雷保安器》     GA 173</w:t>
      </w:r>
    </w:p>
    <w:p w14:paraId="6E53B1C7">
      <w:pPr>
        <w:widowControl/>
        <w:autoSpaceDE w:val="0"/>
        <w:autoSpaceDN w:val="0"/>
        <w:snapToGrid w:val="0"/>
        <w:spacing w:line="360" w:lineRule="auto"/>
        <w:textAlignment w:val="bottom"/>
        <w:rPr>
          <w:kern w:val="2"/>
          <w:szCs w:val="24"/>
        </w:rPr>
      </w:pPr>
      <w:r>
        <w:rPr>
          <w:rFonts w:hint="eastAsia"/>
          <w:kern w:val="2"/>
          <w:szCs w:val="24"/>
        </w:rPr>
        <w:t>《建筑电气设计技术规程》　JDJ16-83</w:t>
      </w:r>
    </w:p>
    <w:p w14:paraId="1BD808CB">
      <w:pPr>
        <w:widowControl/>
        <w:autoSpaceDE w:val="0"/>
        <w:autoSpaceDN w:val="0"/>
        <w:snapToGrid w:val="0"/>
        <w:spacing w:line="360" w:lineRule="auto"/>
        <w:textAlignment w:val="bottom"/>
        <w:rPr>
          <w:kern w:val="2"/>
          <w:szCs w:val="24"/>
        </w:rPr>
      </w:pPr>
      <w:r>
        <w:rPr>
          <w:rFonts w:hint="eastAsia"/>
          <w:kern w:val="2"/>
          <w:szCs w:val="24"/>
        </w:rPr>
        <w:t>《民用建筑电气设计规范》    JGJT 16</w:t>
      </w:r>
    </w:p>
    <w:p w14:paraId="49D623FE">
      <w:pPr>
        <w:widowControl/>
        <w:autoSpaceDE w:val="0"/>
        <w:autoSpaceDN w:val="0"/>
        <w:snapToGrid w:val="0"/>
        <w:spacing w:line="360" w:lineRule="auto"/>
        <w:textAlignment w:val="bottom"/>
        <w:rPr>
          <w:kern w:val="2"/>
          <w:szCs w:val="24"/>
        </w:rPr>
      </w:pPr>
      <w:r>
        <w:rPr>
          <w:rFonts w:hint="eastAsia"/>
          <w:kern w:val="2"/>
          <w:szCs w:val="24"/>
        </w:rPr>
        <w:t>《电气装置安装工程接地装置施工及验收规范》    GB 50169</w:t>
      </w:r>
    </w:p>
    <w:p w14:paraId="372FB5B8">
      <w:pPr>
        <w:widowControl/>
        <w:autoSpaceDE w:val="0"/>
        <w:autoSpaceDN w:val="0"/>
        <w:snapToGrid w:val="0"/>
        <w:spacing w:line="360" w:lineRule="auto"/>
        <w:textAlignment w:val="bottom"/>
        <w:rPr>
          <w:kern w:val="2"/>
          <w:szCs w:val="24"/>
        </w:rPr>
      </w:pPr>
      <w:r>
        <w:rPr>
          <w:rFonts w:hint="eastAsia"/>
          <w:kern w:val="2"/>
          <w:szCs w:val="24"/>
        </w:rPr>
        <w:t>《低压配电设计规范》    GB 50054</w:t>
      </w:r>
    </w:p>
    <w:p w14:paraId="3C5B23A5">
      <w:pPr>
        <w:widowControl/>
        <w:autoSpaceDE w:val="0"/>
        <w:autoSpaceDN w:val="0"/>
        <w:snapToGrid w:val="0"/>
        <w:spacing w:line="360" w:lineRule="auto"/>
        <w:textAlignment w:val="bottom"/>
        <w:rPr>
          <w:kern w:val="2"/>
          <w:szCs w:val="24"/>
        </w:rPr>
      </w:pPr>
      <w:r>
        <w:rPr>
          <w:rFonts w:hint="eastAsia"/>
          <w:kern w:val="2"/>
          <w:szCs w:val="24"/>
        </w:rPr>
        <w:t>《建筑照明设计标准》    GB 50034</w:t>
      </w:r>
    </w:p>
    <w:p w14:paraId="0F733594">
      <w:pPr>
        <w:autoSpaceDE w:val="0"/>
        <w:autoSpaceDN w:val="0"/>
        <w:snapToGrid w:val="0"/>
        <w:spacing w:line="360" w:lineRule="auto"/>
        <w:textAlignment w:val="bottom"/>
      </w:pPr>
      <w:r>
        <w:rPr>
          <w:rFonts w:hint="eastAsia"/>
          <w:kern w:val="2"/>
          <w:szCs w:val="24"/>
        </w:rPr>
        <w:t>《</w:t>
      </w:r>
      <w:r>
        <w:rPr>
          <w:rFonts w:ascii="Arial" w:hAnsi="Arial" w:cs="Arial"/>
          <w:color w:val="000000"/>
          <w:szCs w:val="24"/>
        </w:rPr>
        <w:t>工业数字系统工程设计规范</w:t>
      </w:r>
      <w:r>
        <w:rPr>
          <w:rFonts w:hint="eastAsia"/>
          <w:kern w:val="2"/>
          <w:szCs w:val="24"/>
        </w:rPr>
        <w:t>》</w:t>
      </w:r>
      <w:r>
        <w:rPr>
          <w:rFonts w:ascii="Arial" w:hAnsi="Arial" w:cs="Arial"/>
          <w:color w:val="000000"/>
          <w:szCs w:val="24"/>
        </w:rPr>
        <w:t>GB50115</w:t>
      </w:r>
    </w:p>
    <w:p w14:paraId="51DB30ED">
      <w:pPr>
        <w:pStyle w:val="3"/>
        <w:spacing w:before="0" w:after="0" w:line="500" w:lineRule="exact"/>
        <w:rPr>
          <w:rFonts w:ascii="Arial" w:cs="Arial"/>
          <w:snapToGrid/>
          <w:sz w:val="24"/>
        </w:rPr>
      </w:pPr>
      <w:r>
        <w:rPr>
          <w:rFonts w:hint="eastAsia" w:ascii="Arial" w:cs="Arial"/>
          <w:snapToGrid/>
          <w:sz w:val="24"/>
        </w:rPr>
        <w:t>4</w:t>
      </w:r>
      <w:r>
        <w:rPr>
          <w:rFonts w:ascii="Arial" w:cs="Arial"/>
          <w:snapToGrid/>
          <w:sz w:val="24"/>
        </w:rPr>
        <w:tab/>
      </w:r>
      <w:r>
        <w:rPr>
          <w:rFonts w:ascii="Arial" w:cs="Arial"/>
          <w:snapToGrid/>
          <w:sz w:val="24"/>
        </w:rPr>
        <w:t>设计要求</w:t>
      </w:r>
    </w:p>
    <w:p w14:paraId="60F0DCD9">
      <w:pPr>
        <w:widowControl/>
        <w:autoSpaceDE w:val="0"/>
        <w:autoSpaceDN w:val="0"/>
        <w:snapToGrid w:val="0"/>
        <w:spacing w:line="360" w:lineRule="auto"/>
        <w:textAlignment w:val="bottom"/>
        <w:rPr>
          <w:kern w:val="2"/>
          <w:szCs w:val="24"/>
        </w:rPr>
      </w:pPr>
      <w:r>
        <w:rPr>
          <w:rFonts w:hint="eastAsia"/>
          <w:kern w:val="2"/>
          <w:szCs w:val="24"/>
        </w:rPr>
        <w:t>4.1  总则</w:t>
      </w:r>
    </w:p>
    <w:p w14:paraId="13554820">
      <w:pPr>
        <w:widowControl/>
        <w:autoSpaceDE w:val="0"/>
        <w:autoSpaceDN w:val="0"/>
        <w:adjustRightInd/>
        <w:snapToGrid w:val="0"/>
        <w:spacing w:line="360" w:lineRule="auto"/>
        <w:jc w:val="both"/>
        <w:textAlignment w:val="bottom"/>
        <w:rPr>
          <w:kern w:val="2"/>
          <w:szCs w:val="24"/>
        </w:rPr>
      </w:pPr>
      <w:r>
        <w:rPr>
          <w:rFonts w:hint="eastAsia"/>
          <w:kern w:val="2"/>
          <w:szCs w:val="24"/>
        </w:rPr>
        <w:t>4.1.1 投标人提供一套集控室LED大屏显示系统（弧形，含墙上LED显示屏、主要参数显示屏等），安</w:t>
      </w:r>
      <w:r>
        <w:rPr>
          <w:rFonts w:hint="eastAsia" w:ascii="Arial" w:hAnsi="Arial" w:cs="Arial"/>
        </w:rPr>
        <w:t>装</w:t>
      </w:r>
      <w:r>
        <w:rPr>
          <w:rFonts w:hint="eastAsia"/>
          <w:kern w:val="2"/>
          <w:szCs w:val="24"/>
        </w:rPr>
        <w:t>于集控室操作台前。投标人应详述其集控室LED大屏显示系统的设置方案，最终方案由招标人确定。</w:t>
      </w:r>
    </w:p>
    <w:p w14:paraId="49BCBE8E">
      <w:pPr>
        <w:widowControl/>
        <w:autoSpaceDE w:val="0"/>
        <w:autoSpaceDN w:val="0"/>
        <w:adjustRightInd/>
        <w:snapToGrid w:val="0"/>
        <w:spacing w:line="360" w:lineRule="auto"/>
        <w:jc w:val="both"/>
        <w:textAlignment w:val="bottom"/>
        <w:rPr>
          <w:rFonts w:ascii="Arial" w:hAnsi="Arial" w:cs="Arial"/>
        </w:rPr>
      </w:pPr>
      <w:r>
        <w:rPr>
          <w:rFonts w:hint="eastAsia"/>
          <w:kern w:val="2"/>
          <w:szCs w:val="24"/>
        </w:rPr>
        <w:t>4.1.2 集控室LED大屏显示系统</w:t>
      </w:r>
      <w:r>
        <w:rPr>
          <w:rFonts w:hint="eastAsia" w:ascii="Arial" w:hAnsi="Arial" w:cs="Arial"/>
        </w:rPr>
        <w:t>包括LED全彩显示屏（含管理计算机）、主要参数显示屏、系统内配电、所有供货设备之间的线缆。投标人应负责和需外部接口的供货商配合（如炉膛火焰工业电视系统、全厂闭路电视监视系统、电气控制系统、DCS控制系统、</w:t>
      </w:r>
      <w:r>
        <w:rPr>
          <w:rFonts w:hint="eastAsia" w:cs="Arial"/>
          <w:color w:val="000000"/>
        </w:rPr>
        <w:t>辅助控制系统、</w:t>
      </w:r>
      <w:r>
        <w:rPr>
          <w:rFonts w:hint="eastAsia" w:ascii="Arial" w:hAnsi="Arial" w:cs="Arial"/>
        </w:rPr>
        <w:t>IT信息系统等），以保证接口的完备和正常投运。</w:t>
      </w:r>
      <w:r>
        <w:rPr>
          <w:rFonts w:ascii="Arial" w:hAnsi="Arial" w:cs="Arial"/>
        </w:rPr>
        <w:t>LED</w:t>
      </w:r>
      <w:r>
        <w:rPr>
          <w:rFonts w:hint="eastAsia" w:ascii="Arial" w:hAnsi="Arial" w:cs="Arial"/>
        </w:rPr>
        <w:t>全彩显示屏</w:t>
      </w:r>
      <w:r>
        <w:rPr>
          <w:rFonts w:ascii="Arial" w:hAnsi="Arial" w:cs="Arial"/>
        </w:rPr>
        <w:t>P1.2</w:t>
      </w:r>
      <w:r>
        <w:rPr>
          <w:rFonts w:hint="eastAsia" w:ascii="Arial" w:hAnsi="Arial" w:cs="Arial"/>
        </w:rPr>
        <w:t>长约12</w:t>
      </w:r>
      <w:r>
        <w:rPr>
          <w:rFonts w:ascii="Arial" w:hAnsi="Arial" w:cs="Arial"/>
        </w:rPr>
        <w:t>m</w:t>
      </w:r>
      <w:r>
        <w:rPr>
          <w:rFonts w:hint="eastAsia" w:ascii="Arial" w:hAnsi="Arial" w:cs="Arial"/>
        </w:rPr>
        <w:t>，高约</w:t>
      </w:r>
      <w:r>
        <w:rPr>
          <w:rFonts w:ascii="Arial" w:hAnsi="Arial" w:cs="Arial"/>
        </w:rPr>
        <w:t>2.025m（含参数条）</w:t>
      </w:r>
      <w:r>
        <w:rPr>
          <w:rFonts w:hint="eastAsia" w:ascii="Arial" w:hAnsi="Arial" w:cs="Arial"/>
        </w:rPr>
        <w:t>，正常预案4个16:9画面，上边剩余40cm左右做条形屏显示工业参数；最终具体方案在设计联络会确定。</w:t>
      </w:r>
    </w:p>
    <w:p w14:paraId="68E719A3">
      <w:pPr>
        <w:widowControl/>
        <w:autoSpaceDE w:val="0"/>
        <w:autoSpaceDN w:val="0"/>
        <w:adjustRightInd/>
        <w:snapToGrid w:val="0"/>
        <w:spacing w:line="360" w:lineRule="auto"/>
        <w:jc w:val="both"/>
        <w:textAlignment w:val="bottom"/>
        <w:rPr>
          <w:kern w:val="2"/>
          <w:szCs w:val="24"/>
        </w:rPr>
      </w:pPr>
      <w:r>
        <w:rPr>
          <w:rFonts w:hint="eastAsia"/>
          <w:kern w:val="2"/>
          <w:szCs w:val="24"/>
        </w:rPr>
        <w:t>4.1.3 投标人应采用先进、成熟、实用的主流技术，采用主流产品，并提供高质量的实施和调试，使系统达到国内同行业先进水平。</w:t>
      </w:r>
    </w:p>
    <w:p w14:paraId="04CF6A12">
      <w:pPr>
        <w:widowControl/>
        <w:autoSpaceDE w:val="0"/>
        <w:autoSpaceDN w:val="0"/>
        <w:adjustRightInd/>
        <w:snapToGrid w:val="0"/>
        <w:spacing w:line="360" w:lineRule="auto"/>
        <w:jc w:val="both"/>
        <w:textAlignment w:val="bottom"/>
        <w:rPr>
          <w:kern w:val="2"/>
          <w:szCs w:val="24"/>
        </w:rPr>
      </w:pPr>
      <w:r>
        <w:rPr>
          <w:rFonts w:hint="eastAsia"/>
          <w:kern w:val="2"/>
          <w:szCs w:val="24"/>
        </w:rPr>
        <w:t>4.1.4 集控室LED大屏显示系统应满足当前实际使用和今后发展的需求，应具有优化系统管理、延长设备使用寿命、减少运行费用、节省能耗等特点。</w:t>
      </w:r>
    </w:p>
    <w:p w14:paraId="2424DE93">
      <w:pPr>
        <w:widowControl/>
        <w:autoSpaceDE w:val="0"/>
        <w:autoSpaceDN w:val="0"/>
        <w:adjustRightInd/>
        <w:snapToGrid w:val="0"/>
        <w:spacing w:line="360" w:lineRule="auto"/>
        <w:jc w:val="both"/>
        <w:textAlignment w:val="bottom"/>
        <w:rPr>
          <w:kern w:val="2"/>
          <w:szCs w:val="24"/>
        </w:rPr>
      </w:pPr>
      <w:r>
        <w:rPr>
          <w:rFonts w:hint="eastAsia"/>
          <w:kern w:val="2"/>
          <w:szCs w:val="24"/>
        </w:rPr>
        <w:t>4.1.5 投标人根据本技术规范文件及相关图纸资料进行详细方案设计，并确保设计方案科学、合理、经济。</w:t>
      </w:r>
    </w:p>
    <w:p w14:paraId="357B836C">
      <w:pPr>
        <w:widowControl/>
        <w:autoSpaceDE w:val="0"/>
        <w:autoSpaceDN w:val="0"/>
        <w:adjustRightInd/>
        <w:snapToGrid w:val="0"/>
        <w:spacing w:line="360" w:lineRule="auto"/>
        <w:jc w:val="both"/>
        <w:textAlignment w:val="bottom"/>
        <w:rPr>
          <w:kern w:val="2"/>
          <w:szCs w:val="24"/>
        </w:rPr>
      </w:pPr>
      <w:r>
        <w:rPr>
          <w:rFonts w:hint="eastAsia"/>
          <w:kern w:val="2"/>
          <w:szCs w:val="24"/>
        </w:rPr>
        <w:t>4.1.6 投标人应负责设备及软件的供货、实施、调试、培训等工作，应允许并指导招标人的工作人员参与系统的实施、调试、诊断及解决问题等各项工作。</w:t>
      </w:r>
    </w:p>
    <w:p w14:paraId="5E6D8DCA">
      <w:pPr>
        <w:widowControl/>
        <w:autoSpaceDE w:val="0"/>
        <w:autoSpaceDN w:val="0"/>
        <w:adjustRightInd/>
        <w:snapToGrid w:val="0"/>
        <w:spacing w:line="360" w:lineRule="auto"/>
        <w:jc w:val="both"/>
        <w:textAlignment w:val="bottom"/>
        <w:rPr>
          <w:kern w:val="2"/>
          <w:szCs w:val="24"/>
        </w:rPr>
      </w:pPr>
      <w:r>
        <w:rPr>
          <w:rFonts w:hint="eastAsia"/>
          <w:kern w:val="2"/>
          <w:szCs w:val="24"/>
        </w:rPr>
        <w:t>4.1.7 除上述之外，投标人负责免费提供与本项目LED大屏显示系统有关的其它所有附件及材料的供货、实施。</w:t>
      </w:r>
    </w:p>
    <w:p w14:paraId="2BE56A22">
      <w:pPr>
        <w:widowControl/>
        <w:autoSpaceDE w:val="0"/>
        <w:autoSpaceDN w:val="0"/>
        <w:adjustRightInd/>
        <w:snapToGrid w:val="0"/>
        <w:spacing w:line="360" w:lineRule="auto"/>
        <w:jc w:val="both"/>
        <w:textAlignment w:val="bottom"/>
        <w:rPr>
          <w:kern w:val="2"/>
          <w:szCs w:val="24"/>
        </w:rPr>
      </w:pPr>
      <w:r>
        <w:rPr>
          <w:kern w:val="2"/>
          <w:szCs w:val="24"/>
        </w:rPr>
        <w:t xml:space="preserve">4.1.8 </w:t>
      </w:r>
      <w:r>
        <w:rPr>
          <w:rFonts w:hint="eastAsia"/>
          <w:kern w:val="2"/>
          <w:szCs w:val="24"/>
        </w:rPr>
        <w:t>招标人在集控室数字化仪表墙体预留</w:t>
      </w:r>
      <w:r>
        <w:rPr>
          <w:kern w:val="2"/>
          <w:szCs w:val="24"/>
        </w:rPr>
        <w:t>LED</w:t>
      </w:r>
      <w:r>
        <w:rPr>
          <w:rFonts w:hint="eastAsia"/>
          <w:kern w:val="2"/>
          <w:szCs w:val="24"/>
        </w:rPr>
        <w:t>大屏幕安装位置，投标人提供的大屏幕屏体框架嵌入墙体布置，投标人需根据</w:t>
      </w:r>
      <w:r>
        <w:rPr>
          <w:kern w:val="2"/>
          <w:szCs w:val="24"/>
        </w:rPr>
        <w:t>LED</w:t>
      </w:r>
      <w:r>
        <w:rPr>
          <w:rFonts w:hint="eastAsia"/>
          <w:kern w:val="2"/>
          <w:szCs w:val="24"/>
        </w:rPr>
        <w:t>大屏承重、安装固定、检修及布线等要求与招标人的集控室二次装修设计、施工进行配合，以确保集控室整体美观、协调统一。</w:t>
      </w:r>
    </w:p>
    <w:p w14:paraId="1B255579">
      <w:pPr>
        <w:widowControl/>
        <w:autoSpaceDE w:val="0"/>
        <w:autoSpaceDN w:val="0"/>
        <w:snapToGrid w:val="0"/>
        <w:spacing w:line="360" w:lineRule="auto"/>
        <w:textAlignment w:val="bottom"/>
        <w:rPr>
          <w:kern w:val="2"/>
          <w:szCs w:val="24"/>
        </w:rPr>
      </w:pPr>
      <w:r>
        <w:rPr>
          <w:rFonts w:hint="eastAsia"/>
          <w:kern w:val="2"/>
          <w:szCs w:val="24"/>
        </w:rPr>
        <w:t>4.2 投标人的方案要求</w:t>
      </w:r>
    </w:p>
    <w:p w14:paraId="024CC280">
      <w:pPr>
        <w:widowControl/>
        <w:autoSpaceDE w:val="0"/>
        <w:autoSpaceDN w:val="0"/>
        <w:adjustRightInd/>
        <w:snapToGrid w:val="0"/>
        <w:spacing w:line="360" w:lineRule="auto"/>
        <w:jc w:val="both"/>
        <w:textAlignment w:val="bottom"/>
        <w:rPr>
          <w:kern w:val="2"/>
          <w:szCs w:val="24"/>
        </w:rPr>
      </w:pPr>
      <w:r>
        <w:rPr>
          <w:rFonts w:hint="eastAsia"/>
          <w:kern w:val="2"/>
          <w:szCs w:val="24"/>
        </w:rPr>
        <w:t>4.2.1 投标人应在方案书中提供设备的详细配置。</w:t>
      </w:r>
    </w:p>
    <w:p w14:paraId="55CE5D2C">
      <w:pPr>
        <w:widowControl/>
        <w:autoSpaceDE w:val="0"/>
        <w:autoSpaceDN w:val="0"/>
        <w:adjustRightInd/>
        <w:snapToGrid w:val="0"/>
        <w:spacing w:line="360" w:lineRule="auto"/>
        <w:jc w:val="both"/>
        <w:textAlignment w:val="bottom"/>
        <w:rPr>
          <w:kern w:val="2"/>
          <w:szCs w:val="24"/>
        </w:rPr>
      </w:pPr>
      <w:r>
        <w:rPr>
          <w:rFonts w:hint="eastAsia"/>
          <w:kern w:val="2"/>
          <w:szCs w:val="24"/>
        </w:rPr>
        <w:t>4.2.2 投标人在方案书中应说明对供货时间、运输、实施、调测等进度的具体安排。</w:t>
      </w:r>
    </w:p>
    <w:p w14:paraId="68D9556C">
      <w:pPr>
        <w:widowControl/>
        <w:autoSpaceDE w:val="0"/>
        <w:autoSpaceDN w:val="0"/>
        <w:adjustRightInd/>
        <w:snapToGrid w:val="0"/>
        <w:spacing w:line="360" w:lineRule="auto"/>
        <w:jc w:val="both"/>
        <w:textAlignment w:val="bottom"/>
        <w:rPr>
          <w:kern w:val="2"/>
          <w:szCs w:val="24"/>
        </w:rPr>
      </w:pPr>
      <w:r>
        <w:rPr>
          <w:rFonts w:hint="eastAsia"/>
          <w:kern w:val="2"/>
          <w:szCs w:val="24"/>
        </w:rPr>
        <w:t>4.2.3 投标人在方案书中应说明给招标人提供的技术文件、技术支持、技术服务、人员培训等的范围和程度。</w:t>
      </w:r>
    </w:p>
    <w:p w14:paraId="74AF0B6A">
      <w:pPr>
        <w:widowControl/>
        <w:autoSpaceDE w:val="0"/>
        <w:autoSpaceDN w:val="0"/>
        <w:adjustRightInd/>
        <w:snapToGrid w:val="0"/>
        <w:spacing w:line="360" w:lineRule="auto"/>
        <w:jc w:val="both"/>
        <w:textAlignment w:val="bottom"/>
        <w:rPr>
          <w:kern w:val="2"/>
          <w:szCs w:val="24"/>
        </w:rPr>
      </w:pPr>
      <w:r>
        <w:rPr>
          <w:rFonts w:hint="eastAsia"/>
          <w:kern w:val="2"/>
          <w:szCs w:val="24"/>
        </w:rPr>
        <w:t>4.2.4 投标人应在方案书中列出提供的书面技术资料详细清单。</w:t>
      </w:r>
    </w:p>
    <w:p w14:paraId="7A55D305">
      <w:pPr>
        <w:widowControl/>
        <w:autoSpaceDE w:val="0"/>
        <w:autoSpaceDN w:val="0"/>
        <w:adjustRightInd/>
        <w:snapToGrid w:val="0"/>
        <w:spacing w:line="360" w:lineRule="auto"/>
        <w:jc w:val="both"/>
        <w:textAlignment w:val="bottom"/>
        <w:rPr>
          <w:kern w:val="2"/>
          <w:szCs w:val="24"/>
        </w:rPr>
      </w:pPr>
      <w:r>
        <w:rPr>
          <w:rFonts w:hint="eastAsia"/>
          <w:kern w:val="2"/>
          <w:szCs w:val="24"/>
        </w:rPr>
        <w:t>4.2.5 方案的内容格式要求</w:t>
      </w:r>
    </w:p>
    <w:p w14:paraId="498D6E36">
      <w:pPr>
        <w:snapToGrid w:val="0"/>
        <w:spacing w:line="360" w:lineRule="auto"/>
        <w:ind w:firstLine="480" w:firstLineChars="200"/>
        <w:rPr>
          <w:rFonts w:hint="eastAsia" w:ascii="宋体" w:hAnsi="宋体" w:cs="宋体"/>
        </w:rPr>
      </w:pPr>
      <w:r>
        <w:rPr>
          <w:rFonts w:hint="eastAsia" w:ascii="宋体" w:hAnsi="宋体" w:cs="宋体"/>
        </w:rPr>
        <w:t>投标人所提供的方案应按照以下内容格式进行编制：</w:t>
      </w:r>
    </w:p>
    <w:p w14:paraId="51C9F026">
      <w:pPr>
        <w:numPr>
          <w:ilvl w:val="0"/>
          <w:numId w:val="3"/>
        </w:numPr>
        <w:snapToGrid w:val="0"/>
        <w:spacing w:line="360" w:lineRule="auto"/>
        <w:jc w:val="both"/>
        <w:textAlignment w:val="auto"/>
        <w:rPr>
          <w:rFonts w:hint="eastAsia" w:ascii="宋体" w:hAnsi="宋体" w:cs="宋体"/>
        </w:rPr>
      </w:pPr>
      <w:r>
        <w:rPr>
          <w:rFonts w:hint="eastAsia" w:ascii="宋体" w:hAnsi="宋体" w:cs="宋体"/>
        </w:rPr>
        <w:t>总体描述及总体方案建议；</w:t>
      </w:r>
    </w:p>
    <w:p w14:paraId="4B0EB62C">
      <w:pPr>
        <w:numPr>
          <w:ilvl w:val="0"/>
          <w:numId w:val="3"/>
        </w:numPr>
        <w:snapToGrid w:val="0"/>
        <w:spacing w:line="360" w:lineRule="auto"/>
        <w:jc w:val="both"/>
        <w:textAlignment w:val="auto"/>
        <w:rPr>
          <w:rFonts w:hint="eastAsia" w:ascii="宋体" w:hAnsi="宋体" w:cs="宋体"/>
        </w:rPr>
      </w:pPr>
      <w:r>
        <w:rPr>
          <w:rFonts w:hint="eastAsia" w:ascii="宋体" w:hAnsi="宋体" w:cs="宋体"/>
        </w:rPr>
        <w:t>设备配置清单；</w:t>
      </w:r>
    </w:p>
    <w:p w14:paraId="0E6FA40F">
      <w:pPr>
        <w:numPr>
          <w:ilvl w:val="0"/>
          <w:numId w:val="3"/>
        </w:numPr>
        <w:snapToGrid w:val="0"/>
        <w:spacing w:line="360" w:lineRule="auto"/>
        <w:jc w:val="both"/>
        <w:textAlignment w:val="auto"/>
        <w:rPr>
          <w:rFonts w:hint="eastAsia" w:ascii="宋体" w:hAnsi="宋体" w:cs="宋体"/>
        </w:rPr>
      </w:pPr>
      <w:r>
        <w:rPr>
          <w:rFonts w:hint="eastAsia" w:ascii="宋体" w:hAnsi="宋体" w:cs="宋体"/>
        </w:rPr>
        <w:t>设备情况；</w:t>
      </w:r>
    </w:p>
    <w:p w14:paraId="6BF58067">
      <w:pPr>
        <w:numPr>
          <w:ilvl w:val="0"/>
          <w:numId w:val="3"/>
        </w:numPr>
        <w:snapToGrid w:val="0"/>
        <w:spacing w:line="360" w:lineRule="auto"/>
        <w:jc w:val="both"/>
        <w:textAlignment w:val="auto"/>
        <w:rPr>
          <w:rFonts w:hint="eastAsia" w:ascii="宋体" w:hAnsi="宋体" w:cs="宋体"/>
        </w:rPr>
      </w:pPr>
      <w:r>
        <w:rPr>
          <w:rFonts w:hint="eastAsia" w:ascii="宋体" w:hAnsi="宋体" w:cs="宋体"/>
        </w:rPr>
        <w:t>场地及环境准备(温湿度及环境要求等)；</w:t>
      </w:r>
    </w:p>
    <w:p w14:paraId="444BEF05">
      <w:pPr>
        <w:numPr>
          <w:ilvl w:val="0"/>
          <w:numId w:val="3"/>
        </w:numPr>
        <w:snapToGrid w:val="0"/>
        <w:spacing w:line="360" w:lineRule="auto"/>
        <w:jc w:val="both"/>
        <w:textAlignment w:val="auto"/>
        <w:rPr>
          <w:rFonts w:hint="eastAsia" w:ascii="宋体" w:hAnsi="宋体" w:cs="宋体"/>
        </w:rPr>
      </w:pPr>
      <w:r>
        <w:rPr>
          <w:rFonts w:hint="eastAsia" w:ascii="宋体" w:hAnsi="宋体" w:cs="宋体"/>
        </w:rPr>
        <w:t>项目进度安排及项目组织实施方式；</w:t>
      </w:r>
    </w:p>
    <w:p w14:paraId="301D798B">
      <w:pPr>
        <w:numPr>
          <w:ilvl w:val="0"/>
          <w:numId w:val="3"/>
        </w:numPr>
        <w:snapToGrid w:val="0"/>
        <w:spacing w:line="360" w:lineRule="auto"/>
        <w:jc w:val="both"/>
        <w:textAlignment w:val="auto"/>
        <w:rPr>
          <w:rFonts w:hint="eastAsia" w:ascii="宋体" w:hAnsi="宋体" w:cs="宋体"/>
        </w:rPr>
      </w:pPr>
      <w:r>
        <w:rPr>
          <w:rFonts w:hint="eastAsia" w:ascii="宋体" w:hAnsi="宋体" w:cs="宋体"/>
        </w:rPr>
        <w:t>验收方案；</w:t>
      </w:r>
    </w:p>
    <w:p w14:paraId="75CCA475">
      <w:pPr>
        <w:numPr>
          <w:ilvl w:val="0"/>
          <w:numId w:val="3"/>
        </w:numPr>
        <w:snapToGrid w:val="0"/>
        <w:spacing w:line="360" w:lineRule="auto"/>
        <w:jc w:val="both"/>
        <w:textAlignment w:val="auto"/>
        <w:rPr>
          <w:rFonts w:hint="eastAsia" w:ascii="宋体" w:hAnsi="宋体" w:cs="宋体"/>
        </w:rPr>
      </w:pPr>
      <w:r>
        <w:rPr>
          <w:rFonts w:hint="eastAsia" w:ascii="宋体" w:hAnsi="宋体" w:cs="宋体"/>
        </w:rPr>
        <w:t>培训计划；</w:t>
      </w:r>
    </w:p>
    <w:p w14:paraId="46CE09F9">
      <w:pPr>
        <w:numPr>
          <w:ilvl w:val="0"/>
          <w:numId w:val="3"/>
        </w:numPr>
        <w:snapToGrid w:val="0"/>
        <w:spacing w:line="360" w:lineRule="auto"/>
        <w:jc w:val="both"/>
        <w:textAlignment w:val="auto"/>
        <w:rPr>
          <w:rFonts w:hint="eastAsia" w:ascii="宋体" w:hAnsi="宋体" w:cs="宋体"/>
        </w:rPr>
      </w:pPr>
      <w:r>
        <w:rPr>
          <w:rFonts w:hint="eastAsia" w:ascii="宋体" w:hAnsi="宋体" w:cs="宋体"/>
        </w:rPr>
        <w:t>技术承诺；</w:t>
      </w:r>
    </w:p>
    <w:p w14:paraId="69617DD4">
      <w:pPr>
        <w:numPr>
          <w:ilvl w:val="0"/>
          <w:numId w:val="3"/>
        </w:numPr>
        <w:snapToGrid w:val="0"/>
        <w:spacing w:line="360" w:lineRule="auto"/>
        <w:jc w:val="both"/>
        <w:textAlignment w:val="auto"/>
        <w:rPr>
          <w:rFonts w:hint="eastAsia" w:ascii="宋体" w:hAnsi="宋体" w:cs="宋体"/>
        </w:rPr>
      </w:pPr>
      <w:r>
        <w:rPr>
          <w:rFonts w:hint="eastAsia" w:ascii="宋体" w:hAnsi="宋体" w:cs="宋体"/>
        </w:rPr>
        <w:t>维护支持及保修；</w:t>
      </w:r>
    </w:p>
    <w:p w14:paraId="5C252F31">
      <w:pPr>
        <w:widowControl/>
        <w:numPr>
          <w:ilvl w:val="0"/>
          <w:numId w:val="3"/>
        </w:numPr>
        <w:autoSpaceDE w:val="0"/>
        <w:autoSpaceDN w:val="0"/>
        <w:adjustRightInd/>
        <w:snapToGrid w:val="0"/>
        <w:spacing w:line="360" w:lineRule="auto"/>
        <w:jc w:val="both"/>
        <w:textAlignment w:val="bottom"/>
        <w:rPr>
          <w:kern w:val="2"/>
          <w:szCs w:val="24"/>
        </w:rPr>
      </w:pPr>
      <w:r>
        <w:rPr>
          <w:rFonts w:hint="eastAsia" w:ascii="宋体" w:hAnsi="宋体" w:cs="宋体"/>
        </w:rPr>
        <w:t>资质证明与材料；</w:t>
      </w:r>
    </w:p>
    <w:p w14:paraId="19904A56">
      <w:pPr>
        <w:widowControl/>
        <w:numPr>
          <w:ilvl w:val="0"/>
          <w:numId w:val="3"/>
        </w:numPr>
        <w:autoSpaceDE w:val="0"/>
        <w:autoSpaceDN w:val="0"/>
        <w:adjustRightInd/>
        <w:snapToGrid w:val="0"/>
        <w:spacing w:line="360" w:lineRule="auto"/>
        <w:jc w:val="both"/>
        <w:textAlignment w:val="bottom"/>
        <w:rPr>
          <w:kern w:val="2"/>
          <w:szCs w:val="24"/>
        </w:rPr>
      </w:pPr>
      <w:r>
        <w:rPr>
          <w:rFonts w:hint="eastAsia" w:ascii="宋体" w:hAnsi="宋体" w:cs="宋体"/>
        </w:rPr>
        <w:t>技术文档等。</w:t>
      </w:r>
    </w:p>
    <w:p w14:paraId="4F808F6C">
      <w:pPr>
        <w:widowControl/>
        <w:autoSpaceDE w:val="0"/>
        <w:autoSpaceDN w:val="0"/>
        <w:snapToGrid w:val="0"/>
        <w:spacing w:line="360" w:lineRule="auto"/>
        <w:textAlignment w:val="bottom"/>
        <w:rPr>
          <w:kern w:val="2"/>
          <w:szCs w:val="24"/>
        </w:rPr>
      </w:pPr>
      <w:r>
        <w:rPr>
          <w:rFonts w:hint="eastAsia"/>
          <w:kern w:val="2"/>
          <w:szCs w:val="24"/>
        </w:rPr>
        <w:t>4.3 设备要求</w:t>
      </w:r>
    </w:p>
    <w:p w14:paraId="120AF555">
      <w:pPr>
        <w:widowControl/>
        <w:autoSpaceDE w:val="0"/>
        <w:autoSpaceDN w:val="0"/>
        <w:adjustRightInd/>
        <w:snapToGrid w:val="0"/>
        <w:spacing w:line="360" w:lineRule="auto"/>
        <w:jc w:val="both"/>
        <w:textAlignment w:val="bottom"/>
        <w:rPr>
          <w:kern w:val="2"/>
          <w:szCs w:val="24"/>
        </w:rPr>
      </w:pPr>
      <w:r>
        <w:rPr>
          <w:rFonts w:hint="eastAsia"/>
          <w:kern w:val="2"/>
          <w:szCs w:val="24"/>
        </w:rPr>
        <w:t>4.3.1 所有硬件设备必须具备原制造厂商的铭牌、标志，所有设备均需得到制造商认证，符合制造商公布的质量标准，凡进口的硬件设备必须通过合法渠道进口。</w:t>
      </w:r>
    </w:p>
    <w:p w14:paraId="49728237">
      <w:pPr>
        <w:widowControl/>
        <w:autoSpaceDE w:val="0"/>
        <w:autoSpaceDN w:val="0"/>
        <w:adjustRightInd/>
        <w:snapToGrid w:val="0"/>
        <w:spacing w:line="360" w:lineRule="auto"/>
        <w:jc w:val="both"/>
        <w:textAlignment w:val="bottom"/>
        <w:rPr>
          <w:kern w:val="2"/>
          <w:szCs w:val="24"/>
        </w:rPr>
      </w:pPr>
      <w:r>
        <w:rPr>
          <w:rFonts w:hint="eastAsia"/>
          <w:kern w:val="2"/>
          <w:szCs w:val="24"/>
        </w:rPr>
        <w:t>4.3.2 本系统中出现的任何涉及非法进口设备、版权的纠纷，均由投标人承担全部法律责任。</w:t>
      </w:r>
    </w:p>
    <w:p w14:paraId="48FA44A2">
      <w:pPr>
        <w:widowControl/>
        <w:autoSpaceDE w:val="0"/>
        <w:autoSpaceDN w:val="0"/>
        <w:adjustRightInd/>
        <w:snapToGrid w:val="0"/>
        <w:spacing w:line="360" w:lineRule="auto"/>
        <w:jc w:val="both"/>
        <w:textAlignment w:val="bottom"/>
        <w:rPr>
          <w:kern w:val="2"/>
          <w:szCs w:val="24"/>
        </w:rPr>
      </w:pPr>
      <w:r>
        <w:rPr>
          <w:rFonts w:hint="eastAsia"/>
          <w:kern w:val="2"/>
          <w:szCs w:val="24"/>
        </w:rPr>
        <w:t>4.3.3 所有软件必须具有原制造厂商的授权证或许可证，应具有功能、性能参数和使用手册。</w:t>
      </w:r>
    </w:p>
    <w:p w14:paraId="4427CDB9">
      <w:pPr>
        <w:widowControl/>
        <w:autoSpaceDE w:val="0"/>
        <w:autoSpaceDN w:val="0"/>
        <w:adjustRightInd/>
        <w:snapToGrid w:val="0"/>
        <w:spacing w:line="360" w:lineRule="auto"/>
        <w:jc w:val="both"/>
        <w:textAlignment w:val="bottom"/>
        <w:rPr>
          <w:kern w:val="2"/>
          <w:szCs w:val="24"/>
        </w:rPr>
      </w:pPr>
      <w:r>
        <w:rPr>
          <w:rFonts w:hint="eastAsia"/>
          <w:kern w:val="2"/>
          <w:szCs w:val="24"/>
        </w:rPr>
        <w:t>4.3.4 投标人必须开列设备的硬件或软件的性能指标或功能说明。</w:t>
      </w:r>
    </w:p>
    <w:p w14:paraId="460C0800">
      <w:pPr>
        <w:widowControl/>
        <w:autoSpaceDE w:val="0"/>
        <w:autoSpaceDN w:val="0"/>
        <w:adjustRightInd/>
        <w:snapToGrid w:val="0"/>
        <w:spacing w:line="360" w:lineRule="auto"/>
        <w:jc w:val="both"/>
        <w:textAlignment w:val="bottom"/>
        <w:rPr>
          <w:kern w:val="2"/>
          <w:szCs w:val="24"/>
        </w:rPr>
      </w:pPr>
      <w:r>
        <w:rPr>
          <w:rFonts w:hint="eastAsia"/>
          <w:kern w:val="2"/>
          <w:szCs w:val="24"/>
        </w:rPr>
        <w:t>4.3.5 投标人应提供设备的数量、配置以及随带软件包的说明，并应保证设备配备的品种、数量准确无误，如有错漏由投标人无偿补足。</w:t>
      </w:r>
    </w:p>
    <w:p w14:paraId="569BC104">
      <w:pPr>
        <w:widowControl/>
        <w:autoSpaceDE w:val="0"/>
        <w:autoSpaceDN w:val="0"/>
        <w:adjustRightInd/>
        <w:snapToGrid w:val="0"/>
        <w:spacing w:line="360" w:lineRule="auto"/>
        <w:jc w:val="both"/>
        <w:textAlignment w:val="bottom"/>
        <w:rPr>
          <w:kern w:val="2"/>
          <w:szCs w:val="24"/>
        </w:rPr>
      </w:pPr>
      <w:r>
        <w:rPr>
          <w:rFonts w:hint="eastAsia"/>
          <w:kern w:val="2"/>
          <w:szCs w:val="24"/>
        </w:rPr>
        <w:t>4.3.6 考虑到兼容性，LED显示屏、显示屏控制卡和控制软件须采用同一厂家产品。</w:t>
      </w:r>
    </w:p>
    <w:p w14:paraId="30488834">
      <w:pPr>
        <w:widowControl/>
        <w:autoSpaceDE w:val="0"/>
        <w:autoSpaceDN w:val="0"/>
        <w:adjustRightInd/>
        <w:snapToGrid w:val="0"/>
        <w:spacing w:line="360" w:lineRule="auto"/>
        <w:jc w:val="both"/>
        <w:textAlignment w:val="bottom"/>
        <w:rPr>
          <w:kern w:val="2"/>
          <w:szCs w:val="24"/>
        </w:rPr>
      </w:pPr>
      <w:r>
        <w:rPr>
          <w:rFonts w:hint="eastAsia"/>
          <w:kern w:val="2"/>
          <w:szCs w:val="24"/>
        </w:rPr>
        <w:t>4.3.7 投标人需开具原厂商的三年质保函、同参数LED屏的出厂参数检测报告与功能测试报告本、LED屏体须通过CCC强制认证，并提供证书复印件加盖原厂公章。</w:t>
      </w:r>
    </w:p>
    <w:p w14:paraId="699DECE2">
      <w:pPr>
        <w:pStyle w:val="2"/>
        <w:widowControl/>
        <w:autoSpaceDE w:val="0"/>
        <w:autoSpaceDN w:val="0"/>
        <w:adjustRightInd/>
        <w:snapToGrid w:val="0"/>
        <w:jc w:val="left"/>
        <w:textAlignment w:val="bottom"/>
        <w:rPr>
          <w:kern w:val="2"/>
          <w:szCs w:val="24"/>
        </w:rPr>
      </w:pPr>
      <w:r>
        <w:rPr>
          <w:b w:val="0"/>
          <w:sz w:val="24"/>
          <w:szCs w:val="24"/>
        </w:rPr>
        <w:t>4.3.8 LED</w:t>
      </w:r>
      <w:r>
        <w:rPr>
          <w:rFonts w:hint="eastAsia"/>
          <w:b w:val="0"/>
          <w:sz w:val="24"/>
          <w:szCs w:val="24"/>
        </w:rPr>
        <w:t>显示屏制造商应具有</w:t>
      </w:r>
      <w:r>
        <w:rPr>
          <w:b w:val="0"/>
          <w:sz w:val="24"/>
          <w:szCs w:val="24"/>
        </w:rPr>
        <w:t>ISO14001</w:t>
      </w:r>
      <w:r>
        <w:rPr>
          <w:rFonts w:hint="eastAsia"/>
          <w:b w:val="0"/>
          <w:sz w:val="24"/>
          <w:szCs w:val="24"/>
        </w:rPr>
        <w:t>环境管理体系、</w:t>
      </w:r>
      <w:r>
        <w:rPr>
          <w:b w:val="0"/>
          <w:sz w:val="24"/>
          <w:szCs w:val="24"/>
        </w:rPr>
        <w:t>ISO9001</w:t>
      </w:r>
      <w:r>
        <w:rPr>
          <w:rFonts w:hint="eastAsia"/>
          <w:b w:val="0"/>
          <w:sz w:val="24"/>
          <w:szCs w:val="24"/>
        </w:rPr>
        <w:t>质量管理体系、</w:t>
      </w:r>
      <w:r>
        <w:rPr>
          <w:b w:val="0"/>
          <w:sz w:val="24"/>
          <w:szCs w:val="24"/>
        </w:rPr>
        <w:t>ISO45001</w:t>
      </w:r>
      <w:r>
        <w:rPr>
          <w:rFonts w:hint="eastAsia"/>
          <w:b w:val="0"/>
          <w:sz w:val="24"/>
          <w:szCs w:val="24"/>
        </w:rPr>
        <w:t>职业健康安全管理体系、</w:t>
      </w:r>
      <w:r>
        <w:rPr>
          <w:b w:val="0"/>
          <w:sz w:val="24"/>
          <w:szCs w:val="24"/>
        </w:rPr>
        <w:t>ISO27001</w:t>
      </w:r>
      <w:r>
        <w:rPr>
          <w:rFonts w:hint="eastAsia"/>
          <w:b w:val="0"/>
          <w:sz w:val="24"/>
          <w:szCs w:val="24"/>
        </w:rPr>
        <w:t>信息安全管理体系认证。室内全彩显示屏投标产品需提供：</w:t>
      </w:r>
      <w:r>
        <w:rPr>
          <w:b w:val="0"/>
          <w:sz w:val="24"/>
          <w:szCs w:val="24"/>
        </w:rPr>
        <w:t>CCC</w:t>
      </w:r>
      <w:r>
        <w:rPr>
          <w:rFonts w:hint="eastAsia"/>
          <w:b w:val="0"/>
          <w:sz w:val="24"/>
          <w:szCs w:val="24"/>
        </w:rPr>
        <w:t>认证证书，中国节能产品认证证书。</w:t>
      </w:r>
    </w:p>
    <w:p w14:paraId="6A958A91">
      <w:pPr>
        <w:widowControl/>
        <w:autoSpaceDE w:val="0"/>
        <w:autoSpaceDN w:val="0"/>
        <w:adjustRightInd/>
        <w:snapToGrid w:val="0"/>
        <w:spacing w:line="360" w:lineRule="auto"/>
        <w:jc w:val="both"/>
        <w:textAlignment w:val="bottom"/>
        <w:rPr>
          <w:kern w:val="2"/>
          <w:szCs w:val="24"/>
        </w:rPr>
      </w:pPr>
      <w:r>
        <w:rPr>
          <w:rFonts w:hint="eastAsia"/>
          <w:kern w:val="2"/>
          <w:szCs w:val="24"/>
        </w:rPr>
        <w:t>4.4 管理要求</w:t>
      </w:r>
    </w:p>
    <w:p w14:paraId="05F1CF2C">
      <w:pPr>
        <w:widowControl/>
        <w:autoSpaceDE w:val="0"/>
        <w:autoSpaceDN w:val="0"/>
        <w:adjustRightInd/>
        <w:snapToGrid w:val="0"/>
        <w:spacing w:line="360" w:lineRule="auto"/>
        <w:jc w:val="both"/>
        <w:textAlignment w:val="bottom"/>
        <w:rPr>
          <w:kern w:val="2"/>
          <w:szCs w:val="24"/>
        </w:rPr>
      </w:pPr>
      <w:r>
        <w:rPr>
          <w:rFonts w:hint="eastAsia"/>
          <w:kern w:val="2"/>
          <w:szCs w:val="24"/>
        </w:rPr>
        <w:t>4.4.1 要求投标人有丰富的工程管理经验和技术过硬、经验丰富的工程实施队伍，有丰富的大屏显示系统建设管理、实施经验。</w:t>
      </w:r>
    </w:p>
    <w:p w14:paraId="28A56D14">
      <w:pPr>
        <w:widowControl/>
        <w:autoSpaceDE w:val="0"/>
        <w:autoSpaceDN w:val="0"/>
        <w:adjustRightInd/>
        <w:snapToGrid w:val="0"/>
        <w:spacing w:line="360" w:lineRule="auto"/>
        <w:jc w:val="both"/>
        <w:textAlignment w:val="bottom"/>
        <w:rPr>
          <w:kern w:val="2"/>
          <w:szCs w:val="24"/>
        </w:rPr>
      </w:pPr>
      <w:r>
        <w:rPr>
          <w:rFonts w:hint="eastAsia"/>
          <w:kern w:val="2"/>
          <w:szCs w:val="24"/>
        </w:rPr>
        <w:t>4.4.2 投标人应负责软硬件供货、实施、调试、培训等管理工作，按照电力行业安全文明施工要求开展施工、调试，应允许并指导招标人的工作人员参与系统的实施、调试、诊断及解决问题等各项工作。</w:t>
      </w:r>
    </w:p>
    <w:p w14:paraId="6D56648A">
      <w:pPr>
        <w:widowControl/>
        <w:autoSpaceDE w:val="0"/>
        <w:autoSpaceDN w:val="0"/>
        <w:adjustRightInd/>
        <w:snapToGrid w:val="0"/>
        <w:spacing w:line="360" w:lineRule="auto"/>
        <w:jc w:val="both"/>
        <w:textAlignment w:val="bottom"/>
        <w:rPr>
          <w:kern w:val="2"/>
          <w:szCs w:val="24"/>
        </w:rPr>
      </w:pPr>
      <w:r>
        <w:rPr>
          <w:rFonts w:hint="eastAsia"/>
          <w:kern w:val="2"/>
          <w:szCs w:val="24"/>
        </w:rPr>
        <w:t>4.4.3 投标人应选派具备相当经验和工作能力的专业人员参加管理工作，对项目实施人员安排进行说明。</w:t>
      </w:r>
    </w:p>
    <w:p w14:paraId="265BFEE4">
      <w:pPr>
        <w:widowControl/>
        <w:autoSpaceDE w:val="0"/>
        <w:autoSpaceDN w:val="0"/>
        <w:adjustRightInd/>
        <w:snapToGrid w:val="0"/>
        <w:spacing w:line="360" w:lineRule="auto"/>
        <w:jc w:val="both"/>
        <w:textAlignment w:val="bottom"/>
        <w:rPr>
          <w:kern w:val="2"/>
          <w:szCs w:val="24"/>
        </w:rPr>
      </w:pPr>
      <w:r>
        <w:rPr>
          <w:rFonts w:hint="eastAsia"/>
          <w:kern w:val="2"/>
          <w:szCs w:val="24"/>
        </w:rPr>
        <w:t>4.4.4 投标人在现场安装调试过程中，应服从招标人统一管理。</w:t>
      </w:r>
    </w:p>
    <w:p w14:paraId="324E34F0">
      <w:pPr>
        <w:widowControl/>
        <w:autoSpaceDE w:val="0"/>
        <w:autoSpaceDN w:val="0"/>
        <w:adjustRightInd/>
        <w:snapToGrid w:val="0"/>
        <w:spacing w:line="360" w:lineRule="auto"/>
        <w:jc w:val="both"/>
        <w:textAlignment w:val="bottom"/>
        <w:rPr>
          <w:kern w:val="2"/>
          <w:szCs w:val="24"/>
        </w:rPr>
      </w:pPr>
      <w:r>
        <w:rPr>
          <w:rFonts w:hint="eastAsia"/>
          <w:kern w:val="2"/>
          <w:szCs w:val="24"/>
        </w:rPr>
        <w:t>4.4.5 投标人负责现场实施、配置、调试和服务，直到所供设备能令人满意地投入运行，达到全部功能要求。</w:t>
      </w:r>
    </w:p>
    <w:p w14:paraId="7D51B94B">
      <w:pPr>
        <w:widowControl/>
        <w:autoSpaceDE w:val="0"/>
        <w:autoSpaceDN w:val="0"/>
        <w:adjustRightInd/>
        <w:snapToGrid w:val="0"/>
        <w:spacing w:line="360" w:lineRule="auto"/>
        <w:jc w:val="both"/>
        <w:textAlignment w:val="bottom"/>
        <w:rPr>
          <w:kern w:val="2"/>
          <w:szCs w:val="24"/>
        </w:rPr>
      </w:pPr>
      <w:r>
        <w:rPr>
          <w:rFonts w:hint="eastAsia"/>
          <w:kern w:val="2"/>
          <w:szCs w:val="24"/>
        </w:rPr>
        <w:t>4.5 技术要求</w:t>
      </w:r>
    </w:p>
    <w:p w14:paraId="433E77D8">
      <w:pPr>
        <w:widowControl/>
        <w:autoSpaceDE w:val="0"/>
        <w:autoSpaceDN w:val="0"/>
        <w:adjustRightInd/>
        <w:snapToGrid w:val="0"/>
        <w:spacing w:line="360" w:lineRule="auto"/>
        <w:ind w:firstLine="480" w:firstLineChars="200"/>
        <w:jc w:val="both"/>
        <w:textAlignment w:val="bottom"/>
        <w:rPr>
          <w:kern w:val="2"/>
          <w:szCs w:val="24"/>
        </w:rPr>
      </w:pPr>
      <w:r>
        <w:rPr>
          <w:rFonts w:hint="eastAsia"/>
          <w:kern w:val="2"/>
          <w:szCs w:val="24"/>
        </w:rPr>
        <w:t>投标人应提供高质量、安全可靠、符合实际需求的集控室大屏系统设备产品，并提供个性化的解决方案，技术要求如下：</w:t>
      </w:r>
    </w:p>
    <w:p w14:paraId="4E886E36">
      <w:pPr>
        <w:widowControl/>
        <w:autoSpaceDE w:val="0"/>
        <w:autoSpaceDN w:val="0"/>
        <w:adjustRightInd/>
        <w:snapToGrid w:val="0"/>
        <w:spacing w:line="360" w:lineRule="auto"/>
        <w:jc w:val="both"/>
        <w:textAlignment w:val="bottom"/>
        <w:rPr>
          <w:kern w:val="2"/>
          <w:szCs w:val="24"/>
        </w:rPr>
      </w:pPr>
      <w:r>
        <w:rPr>
          <w:rFonts w:hint="eastAsia"/>
          <w:kern w:val="2"/>
          <w:szCs w:val="24"/>
        </w:rPr>
        <w:t>4.5.1 LED全彩显示屏</w:t>
      </w:r>
    </w:p>
    <w:p w14:paraId="62F8F82A">
      <w:pPr>
        <w:widowControl/>
        <w:autoSpaceDE w:val="0"/>
        <w:autoSpaceDN w:val="0"/>
        <w:adjustRightInd/>
        <w:snapToGrid w:val="0"/>
        <w:spacing w:line="360" w:lineRule="auto"/>
        <w:ind w:firstLine="480" w:firstLineChars="200"/>
        <w:jc w:val="both"/>
        <w:textAlignment w:val="bottom"/>
      </w:pPr>
      <w:r>
        <w:rPr>
          <w:rFonts w:hint="eastAsia"/>
          <w:kern w:val="2"/>
          <w:szCs w:val="24"/>
        </w:rPr>
        <w:t>集控室大屏采用LED全彩显示屏，显示无缝拼接，画面色彩亮度均匀一致，无分割，没有黑线，采用小间距LED显示屏，LED像素点间距≤1.25mm，小间距LED全彩显示屏（弧形）屏幕为：长约12</w:t>
      </w:r>
      <w:r>
        <w:rPr>
          <w:kern w:val="2"/>
          <w:szCs w:val="24"/>
        </w:rPr>
        <w:t xml:space="preserve">m </w:t>
      </w:r>
      <w:r>
        <w:rPr>
          <w:rFonts w:hint="eastAsia"/>
          <w:kern w:val="2"/>
          <w:szCs w:val="24"/>
        </w:rPr>
        <w:t>、高约</w:t>
      </w:r>
      <w:r>
        <w:rPr>
          <w:kern w:val="2"/>
          <w:szCs w:val="24"/>
        </w:rPr>
        <w:t>2.025m</w:t>
      </w:r>
      <w:r>
        <w:rPr>
          <w:rFonts w:hint="eastAsia"/>
          <w:kern w:val="2"/>
          <w:szCs w:val="24"/>
        </w:rPr>
        <w:t>，面积不小于24.3</w:t>
      </w:r>
      <w:r>
        <w:t>m</w:t>
      </w:r>
      <w:r>
        <w:rPr>
          <w:vertAlign w:val="superscript"/>
        </w:rPr>
        <w:t>2</w:t>
      </w:r>
      <w:r>
        <w:rPr>
          <w:rFonts w:hint="eastAsia"/>
          <w:kern w:val="2"/>
          <w:szCs w:val="24"/>
        </w:rPr>
        <w:t>。为固定超薄前维护安装形式。</w:t>
      </w:r>
    </w:p>
    <w:p w14:paraId="04554857">
      <w:pPr>
        <w:widowControl/>
        <w:autoSpaceDE w:val="0"/>
        <w:autoSpaceDN w:val="0"/>
        <w:adjustRightInd/>
        <w:snapToGrid w:val="0"/>
        <w:spacing w:line="360" w:lineRule="auto"/>
        <w:ind w:firstLine="480" w:firstLineChars="200"/>
        <w:jc w:val="both"/>
        <w:textAlignment w:val="bottom"/>
        <w:rPr>
          <w:kern w:val="2"/>
          <w:szCs w:val="24"/>
        </w:rPr>
      </w:pPr>
      <w:r>
        <w:rPr>
          <w:kern w:val="2"/>
          <w:szCs w:val="24"/>
        </w:rPr>
        <w:t>LED</w:t>
      </w:r>
      <w:r>
        <w:rPr>
          <w:rFonts w:hint="eastAsia"/>
          <w:kern w:val="2"/>
          <w:szCs w:val="24"/>
        </w:rPr>
        <w:t>全彩显示屏技术要求如下（</w:t>
      </w:r>
      <w:r>
        <w:rPr>
          <w:rFonts w:hint="eastAsia"/>
        </w:rPr>
        <w:t>供货后，招标人有权针对各技术参数要求投标人提供首页具有</w:t>
      </w:r>
      <w:r>
        <w:t>CMA</w:t>
      </w:r>
      <w:r>
        <w:rPr>
          <w:rFonts w:hint="eastAsia"/>
        </w:rPr>
        <w:t>标识的第三方检测报告复印件并加盖厂家公章）</w:t>
      </w:r>
      <w:r>
        <w:rPr>
          <w:rFonts w:hint="eastAsia"/>
          <w:kern w:val="2"/>
          <w:szCs w:val="24"/>
        </w:rPr>
        <w:t>：</w:t>
      </w:r>
    </w:p>
    <w:p w14:paraId="56C4E65B">
      <w:pPr>
        <w:pStyle w:val="124"/>
        <w:rPr>
          <w:kern w:val="2"/>
          <w:szCs w:val="24"/>
        </w:rPr>
      </w:pPr>
      <w:r>
        <w:t>LED</w:t>
      </w:r>
      <w:r>
        <w:rPr>
          <w:rFonts w:hint="eastAsia"/>
        </w:rPr>
        <w:t>像素点间距≤</w:t>
      </w:r>
      <w:r>
        <w:t>1.25mm;</w:t>
      </w:r>
      <w:r>
        <w:rPr>
          <w:rFonts w:hint="eastAsia"/>
        </w:rPr>
        <w:t>像素密度≥</w:t>
      </w:r>
      <w:r>
        <w:t>640000</w:t>
      </w:r>
      <w:r>
        <w:rPr>
          <w:rFonts w:hint="eastAsia"/>
        </w:rPr>
        <w:t>点</w:t>
      </w:r>
      <w:r>
        <w:t>/</w:t>
      </w:r>
      <w:r>
        <w:rPr>
          <w:rFonts w:hint="eastAsia"/>
        </w:rPr>
        <w:t>㎡，</w:t>
      </w:r>
      <w:r>
        <w:t>SMD</w:t>
      </w:r>
      <w:r>
        <w:rPr>
          <w:rFonts w:hint="eastAsia"/>
        </w:rPr>
        <w:t>封装</w:t>
      </w:r>
      <w:r>
        <w:t>1R1G1B</w:t>
      </w:r>
      <w:r>
        <w:rPr>
          <w:rFonts w:hint="eastAsia"/>
        </w:rPr>
        <w:t>，</w:t>
      </w:r>
      <w:r>
        <w:t>RGB</w:t>
      </w:r>
      <w:r>
        <w:rPr>
          <w:rFonts w:hint="eastAsia"/>
        </w:rPr>
        <w:t>芯片全倒装共阴极驱动。</w:t>
      </w:r>
    </w:p>
    <w:p w14:paraId="5AC6061A">
      <w:pPr>
        <w:pStyle w:val="124"/>
      </w:pPr>
      <w:r>
        <w:rPr>
          <w:rFonts w:hint="eastAsia"/>
        </w:rPr>
        <w:t>采用共阴驱动</w:t>
      </w:r>
      <w:r>
        <w:t>+</w:t>
      </w:r>
      <w:r>
        <w:rPr>
          <w:rFonts w:hint="eastAsia"/>
        </w:rPr>
        <w:t>高制程驱动</w:t>
      </w:r>
      <w:r>
        <w:t>+</w:t>
      </w:r>
      <w:r>
        <w:rPr>
          <w:rFonts w:hint="eastAsia"/>
        </w:rPr>
        <w:t>倒装</w:t>
      </w:r>
      <w:r>
        <w:t>+</w:t>
      </w:r>
      <w:r>
        <w:rPr>
          <w:rFonts w:hint="eastAsia"/>
        </w:rPr>
        <w:t>动态引擎算法等先进工艺技术，可有效降低</w:t>
      </w:r>
      <w:r>
        <w:t>LED</w:t>
      </w:r>
      <w:r>
        <w:rPr>
          <w:rFonts w:hint="eastAsia"/>
        </w:rPr>
        <w:t>屏的功耗、降低屏体表面温度、降低</w:t>
      </w:r>
      <w:r>
        <w:t>LED</w:t>
      </w:r>
      <w:r>
        <w:rPr>
          <w:rFonts w:hint="eastAsia"/>
        </w:rPr>
        <w:t>屏整体厚度。</w:t>
      </w:r>
    </w:p>
    <w:p w14:paraId="79E4F380">
      <w:pPr>
        <w:pStyle w:val="124"/>
      </w:pPr>
      <w:r>
        <w:rPr>
          <w:rFonts w:hint="eastAsia"/>
        </w:rPr>
        <w:t>显示屏幕峰值亮度≥</w:t>
      </w:r>
      <w:r>
        <w:t>600nits,</w:t>
      </w:r>
      <w:r>
        <w:rPr>
          <w:rFonts w:hint="eastAsia"/>
        </w:rPr>
        <w:t>峰值功耗＜</w:t>
      </w:r>
      <w:r>
        <w:t>235W/</w:t>
      </w:r>
      <w:r>
        <w:rPr>
          <w:rFonts w:hint="eastAsia"/>
        </w:rPr>
        <w:t>㎡（</w:t>
      </w:r>
      <w:r>
        <w:t>600nits</w:t>
      </w:r>
      <w:r>
        <w:rPr>
          <w:rFonts w:hint="eastAsia"/>
        </w:rPr>
        <w:t>亮度），平均功耗＜</w:t>
      </w:r>
      <w:r>
        <w:t>81W/</w:t>
      </w:r>
      <w:r>
        <w:rPr>
          <w:rFonts w:hint="eastAsia"/>
        </w:rPr>
        <w:t>㎡</w:t>
      </w:r>
      <w:r>
        <w:t>(600nits</w:t>
      </w:r>
      <w:r>
        <w:rPr>
          <w:rFonts w:hint="eastAsia"/>
        </w:rPr>
        <w:t>亮度</w:t>
      </w:r>
      <w:r>
        <w:t>)</w:t>
      </w:r>
      <w:r>
        <w:rPr>
          <w:rFonts w:hint="eastAsia"/>
        </w:rPr>
        <w:t>。</w:t>
      </w:r>
    </w:p>
    <w:p w14:paraId="5F5E7075">
      <w:pPr>
        <w:pStyle w:val="123"/>
        <w:ind w:firstLine="480" w:firstLineChars="200"/>
      </w:pPr>
      <w:r>
        <w:rPr>
          <w:rFonts w:hint="eastAsia"/>
          <w:sz w:val="24"/>
        </w:rPr>
        <w:t>连续工作时间：</w:t>
      </w:r>
      <w:r>
        <w:rPr>
          <w:sz w:val="24"/>
          <w:lang w:val="zh-CN"/>
        </w:rPr>
        <w:t>365X24</w:t>
      </w:r>
      <w:r>
        <w:rPr>
          <w:rFonts w:hint="eastAsia"/>
          <w:sz w:val="24"/>
          <w:lang w:val="zh-CN"/>
        </w:rPr>
        <w:t>小时；</w:t>
      </w:r>
      <w:r>
        <w:rPr>
          <w:rFonts w:hint="eastAsia"/>
          <w:sz w:val="24"/>
        </w:rPr>
        <w:t>寿命典型值：</w:t>
      </w:r>
      <w:r>
        <w:rPr>
          <w:sz w:val="24"/>
        </w:rPr>
        <w:t>10</w:t>
      </w:r>
      <w:r>
        <w:rPr>
          <w:rFonts w:hint="eastAsia"/>
          <w:sz w:val="24"/>
        </w:rPr>
        <w:t>0，000小时。</w:t>
      </w:r>
    </w:p>
    <w:p w14:paraId="450D1531">
      <w:pPr>
        <w:pStyle w:val="124"/>
      </w:pPr>
      <w:r>
        <w:rPr>
          <w:rFonts w:hint="eastAsia"/>
        </w:rPr>
        <w:t>工作湿度：最高工作环境温度下，相对湿度</w:t>
      </w:r>
      <w:r>
        <w:t>10%~90%</w:t>
      </w:r>
      <w:r>
        <w:rPr>
          <w:rFonts w:hint="eastAsia"/>
        </w:rPr>
        <w:t>，通电工作</w:t>
      </w:r>
      <w:r>
        <w:t>8h</w:t>
      </w:r>
      <w:r>
        <w:rPr>
          <w:rFonts w:hint="eastAsia"/>
        </w:rPr>
        <w:t>，无凝露。</w:t>
      </w:r>
    </w:p>
    <w:p w14:paraId="21F2C6BA">
      <w:pPr>
        <w:pStyle w:val="124"/>
        <w:rPr>
          <w:kern w:val="2"/>
          <w:szCs w:val="24"/>
        </w:rPr>
      </w:pPr>
      <w:r>
        <w:rPr>
          <w:rFonts w:hint="eastAsia"/>
        </w:rPr>
        <w:t>根据</w:t>
      </w:r>
      <w:r>
        <w:t>SJ/T11590-2016LED</w:t>
      </w:r>
      <w:r>
        <w:rPr>
          <w:rFonts w:hint="eastAsia"/>
        </w:rPr>
        <w:t>显示屏图像质量主观评价方法，从正面及侧面分别观察亮度及色度是否均匀，是否有马赛克现象及灰尘效应。符合评价为优。</w:t>
      </w:r>
    </w:p>
    <w:p w14:paraId="79BEA3CF">
      <w:pPr>
        <w:pStyle w:val="124"/>
      </w:pPr>
      <w:r>
        <w:rPr>
          <w:rFonts w:hint="eastAsia"/>
        </w:rPr>
        <w:t>根据</w:t>
      </w:r>
      <w:r>
        <w:t>SJ/T11590-2016LED</w:t>
      </w:r>
      <w:r>
        <w:rPr>
          <w:rFonts w:hint="eastAsia"/>
        </w:rPr>
        <w:t>显示屏图像质量主观评价方法，从正面及侧面分别观察模块及箱体的拼缝处，是否存在高于正常亮度的亮线条或低于正常亮度的暗线条。符合评价为优。</w:t>
      </w:r>
    </w:p>
    <w:p w14:paraId="219F3F07">
      <w:pPr>
        <w:pStyle w:val="124"/>
        <w:rPr>
          <w:kern w:val="2"/>
          <w:szCs w:val="24"/>
        </w:rPr>
      </w:pPr>
      <w:r>
        <w:rPr>
          <w:rFonts w:hint="eastAsia"/>
        </w:rPr>
        <w:t>依据</w:t>
      </w:r>
      <w:r>
        <w:t>GB/T20145-2006</w:t>
      </w:r>
      <w:r>
        <w:rPr>
          <w:rFonts w:hint="eastAsia"/>
        </w:rPr>
        <w:t>标准要求，</w:t>
      </w:r>
      <w:r>
        <w:t>LED</w:t>
      </w:r>
      <w:r>
        <w:rPr>
          <w:rFonts w:hint="eastAsia"/>
        </w:rPr>
        <w:t>显示屏辐亮度≤</w:t>
      </w:r>
      <w:r>
        <w:t>100 W</w:t>
      </w:r>
      <w:r>
        <w:rPr>
          <w:rFonts w:hint="eastAsia"/>
        </w:rPr>
        <w:t>·</w:t>
      </w:r>
      <w:r>
        <w:t>m^-2</w:t>
      </w:r>
      <w:r>
        <w:rPr>
          <w:rFonts w:hint="eastAsia"/>
        </w:rPr>
        <w:t>·</w:t>
      </w:r>
      <w:r>
        <w:t>sr^-1</w:t>
      </w:r>
      <w:r>
        <w:rPr>
          <w:rFonts w:hint="eastAsia"/>
        </w:rPr>
        <w:t>，判定级别为</w:t>
      </w:r>
      <w:r>
        <w:t>RG0</w:t>
      </w:r>
      <w:r>
        <w:rPr>
          <w:rFonts w:hint="eastAsia"/>
        </w:rPr>
        <w:t>无危害级，</w:t>
      </w:r>
      <w:r>
        <w:t>LED</w:t>
      </w:r>
      <w:r>
        <w:rPr>
          <w:rFonts w:hint="eastAsia"/>
        </w:rPr>
        <w:t>屏幕蓝光辐射符合国标无危害级要求。</w:t>
      </w:r>
    </w:p>
    <w:p w14:paraId="7541A8B6">
      <w:pPr>
        <w:pStyle w:val="124"/>
        <w:rPr>
          <w:kern w:val="2"/>
          <w:szCs w:val="24"/>
        </w:rPr>
      </w:pPr>
      <w:r>
        <w:rPr>
          <w:rFonts w:hint="eastAsia"/>
        </w:rPr>
        <w:t>支架组装式设计，支架采用组装式设计，支持拆装。</w:t>
      </w:r>
    </w:p>
    <w:p w14:paraId="72F23EA8">
      <w:pPr>
        <w:pStyle w:val="124"/>
        <w:rPr>
          <w:kern w:val="2"/>
          <w:szCs w:val="24"/>
        </w:rPr>
      </w:pPr>
      <w:r>
        <w:t>LED</w:t>
      </w:r>
      <w:r>
        <w:rPr>
          <w:rFonts w:hint="eastAsia"/>
        </w:rPr>
        <w:t>单元箱体间连接网线具备</w:t>
      </w:r>
      <w:r>
        <w:t>L</w:t>
      </w:r>
      <w:r>
        <w:rPr>
          <w:rFonts w:hint="eastAsia"/>
        </w:rPr>
        <w:t>型等非矩形框架走线方式，网线利用率＞</w:t>
      </w:r>
      <w:r>
        <w:t>95%</w:t>
      </w:r>
      <w:r>
        <w:rPr>
          <w:rFonts w:hint="eastAsia"/>
        </w:rPr>
        <w:t>。</w:t>
      </w:r>
    </w:p>
    <w:p w14:paraId="525AACA4">
      <w:pPr>
        <w:pStyle w:val="124"/>
        <w:rPr>
          <w:kern w:val="2"/>
          <w:szCs w:val="24"/>
        </w:rPr>
      </w:pPr>
      <w:r>
        <w:t>LED</w:t>
      </w:r>
      <w:r>
        <w:rPr>
          <w:rFonts w:hint="eastAsia"/>
        </w:rPr>
        <w:t>屏幕通过局域网客户端，局域网</w:t>
      </w:r>
      <w:r>
        <w:t>WEB</w:t>
      </w:r>
      <w:r>
        <w:rPr>
          <w:rFonts w:hint="eastAsia"/>
        </w:rPr>
        <w:t>端，红外遥控器，射频遥控器，物理按键五种种方式实现亮度调节。</w:t>
      </w:r>
    </w:p>
    <w:p w14:paraId="7B9DE1EC">
      <w:pPr>
        <w:pStyle w:val="124"/>
      </w:pPr>
      <w:r>
        <w:t>LED</w:t>
      </w:r>
      <w:r>
        <w:rPr>
          <w:rFonts w:hint="eastAsia"/>
        </w:rPr>
        <w:t>制造商应具有较强的实验室检测能力，具备电磁兼容抗扰度</w:t>
      </w:r>
      <w:r>
        <w:t>GB/T 17626</w:t>
      </w:r>
      <w:r>
        <w:rPr>
          <w:rFonts w:hint="eastAsia"/>
        </w:rPr>
        <w:t>系列标准和温度</w:t>
      </w:r>
      <w:r>
        <w:t>/</w:t>
      </w:r>
      <w:r>
        <w:rPr>
          <w:rFonts w:hint="eastAsia"/>
        </w:rPr>
        <w:t>湿度</w:t>
      </w:r>
      <w:r>
        <w:t>/</w:t>
      </w:r>
      <w:r>
        <w:rPr>
          <w:rFonts w:hint="eastAsia"/>
        </w:rPr>
        <w:t>低气压</w:t>
      </w:r>
      <w:r>
        <w:t>GB/T 2423.27</w:t>
      </w:r>
      <w:r>
        <w:rPr>
          <w:rFonts w:hint="eastAsia"/>
        </w:rPr>
        <w:t>标准的测试能力。（提供国家认可的中心实验室认证证书复印件及体现检测范围内容项）。</w:t>
      </w:r>
    </w:p>
    <w:p w14:paraId="72F10C79">
      <w:pPr>
        <w:pStyle w:val="124"/>
      </w:pPr>
      <w:r>
        <w:rPr>
          <w:rFonts w:hint="eastAsia"/>
        </w:rPr>
        <w:t>灯板采用灌胶工艺，形成一个紧密连接且高度防护的整体，提高</w:t>
      </w:r>
      <w:r>
        <w:t>LED</w:t>
      </w:r>
      <w:r>
        <w:rPr>
          <w:rFonts w:hint="eastAsia"/>
        </w:rPr>
        <w:t>显示屏的可靠性和稳定性，降低因灯珠脱落导致的故障率，减少维护成本，特别适用于潮湿、频繁拆卸等恶劣环境。（提供首页具有</w:t>
      </w:r>
      <w:r>
        <w:t>CMA</w:t>
      </w:r>
      <w:r>
        <w:rPr>
          <w:rFonts w:hint="eastAsia"/>
        </w:rPr>
        <w:t>标识的第三方检测报告复印件并加盖厂家公章）</w:t>
      </w:r>
    </w:p>
    <w:p w14:paraId="247873F9">
      <w:pPr>
        <w:pStyle w:val="124"/>
        <w:rPr>
          <w:kern w:val="2"/>
          <w:szCs w:val="24"/>
        </w:rPr>
      </w:pPr>
      <w:r>
        <w:rPr>
          <w:rFonts w:hint="eastAsia"/>
        </w:rPr>
        <w:t>投标产品需提供中国环保产品（</w:t>
      </w:r>
      <w:r>
        <w:t>II</w:t>
      </w:r>
      <w:r>
        <w:rPr>
          <w:rFonts w:hint="eastAsia"/>
        </w:rPr>
        <w:t>型）认证证书、中国环境标志产品认证证书、</w:t>
      </w:r>
      <w:r>
        <w:t>CCC</w:t>
      </w:r>
      <w:r>
        <w:rPr>
          <w:rFonts w:hint="eastAsia"/>
        </w:rPr>
        <w:t>认证证书。</w:t>
      </w:r>
    </w:p>
    <w:p w14:paraId="6C3F2B25">
      <w:pPr>
        <w:widowControl/>
        <w:autoSpaceDE w:val="0"/>
        <w:autoSpaceDN w:val="0"/>
        <w:adjustRightInd/>
        <w:snapToGrid w:val="0"/>
        <w:spacing w:line="360" w:lineRule="auto"/>
        <w:jc w:val="both"/>
        <w:textAlignment w:val="bottom"/>
        <w:rPr>
          <w:kern w:val="2"/>
          <w:szCs w:val="24"/>
        </w:rPr>
      </w:pPr>
      <w:r>
        <w:rPr>
          <w:rFonts w:hint="eastAsia"/>
          <w:kern w:val="2"/>
          <w:szCs w:val="24"/>
        </w:rPr>
        <w:t>4.5.2 显示屏控制卡</w:t>
      </w:r>
    </w:p>
    <w:p w14:paraId="4E672D57">
      <w:pPr>
        <w:pStyle w:val="124"/>
        <w:rPr>
          <w:kern w:val="2"/>
        </w:rPr>
      </w:pPr>
      <w:r>
        <w:rPr>
          <w:rFonts w:hint="eastAsia"/>
          <w:kern w:val="2"/>
        </w:rPr>
        <w:t>产品采用金属机身，塑料前框，整机宽度不宽于</w:t>
      </w:r>
      <w:r>
        <w:rPr>
          <w:kern w:val="2"/>
        </w:rPr>
        <w:t>210mm</w:t>
      </w:r>
      <w:r>
        <w:rPr>
          <w:rFonts w:hint="eastAsia"/>
          <w:kern w:val="2"/>
        </w:rPr>
        <w:t>，整机高度不高于</w:t>
      </w:r>
      <w:r>
        <w:rPr>
          <w:kern w:val="2"/>
        </w:rPr>
        <w:t>42mm</w:t>
      </w:r>
      <w:r>
        <w:rPr>
          <w:rFonts w:hint="eastAsia"/>
          <w:kern w:val="2"/>
        </w:rPr>
        <w:t>，整机深度不深于</w:t>
      </w:r>
      <w:r>
        <w:rPr>
          <w:kern w:val="2"/>
        </w:rPr>
        <w:t>180mm</w:t>
      </w:r>
      <w:r>
        <w:rPr>
          <w:rFonts w:hint="eastAsia"/>
          <w:kern w:val="2"/>
        </w:rPr>
        <w:t>，两台设备横向平行安装可安装于</w:t>
      </w:r>
      <w:r>
        <w:rPr>
          <w:kern w:val="2"/>
        </w:rPr>
        <w:t>1U</w:t>
      </w:r>
      <w:r>
        <w:rPr>
          <w:rFonts w:hint="eastAsia"/>
          <w:kern w:val="2"/>
        </w:rPr>
        <w:t>标准机柜中。显示屏控制卡选用与LED显示屏同一品牌的产品。</w:t>
      </w:r>
    </w:p>
    <w:p w14:paraId="67434908">
      <w:pPr>
        <w:pStyle w:val="124"/>
        <w:rPr>
          <w:kern w:val="2"/>
        </w:rPr>
      </w:pPr>
      <w:r>
        <w:rPr>
          <w:rFonts w:hint="eastAsia"/>
          <w:kern w:val="2"/>
        </w:rPr>
        <w:t>输入：</w:t>
      </w:r>
      <w:r>
        <w:rPr>
          <w:kern w:val="2"/>
        </w:rPr>
        <w:t>HDMI</w:t>
      </w:r>
      <w:r>
        <w:rPr>
          <w:rFonts w:hint="eastAsia"/>
          <w:kern w:val="2"/>
        </w:rPr>
        <w:t>×</w:t>
      </w:r>
      <w:r>
        <w:rPr>
          <w:kern w:val="2"/>
        </w:rPr>
        <w:t>1</w:t>
      </w:r>
      <w:r>
        <w:rPr>
          <w:rFonts w:hint="eastAsia"/>
          <w:kern w:val="2"/>
        </w:rPr>
        <w:t>、</w:t>
      </w:r>
      <w:r>
        <w:rPr>
          <w:kern w:val="2"/>
        </w:rPr>
        <w:t>USB</w:t>
      </w:r>
      <w:r>
        <w:rPr>
          <w:rFonts w:hint="eastAsia"/>
          <w:kern w:val="2"/>
        </w:rPr>
        <w:t>×</w:t>
      </w:r>
      <w:r>
        <w:rPr>
          <w:kern w:val="2"/>
        </w:rPr>
        <w:t>1</w:t>
      </w:r>
      <w:r>
        <w:rPr>
          <w:rFonts w:hint="eastAsia"/>
          <w:kern w:val="2"/>
        </w:rPr>
        <w:t>、</w:t>
      </w:r>
      <w:r>
        <w:rPr>
          <w:kern w:val="2"/>
        </w:rPr>
        <w:t>DEBUG</w:t>
      </w:r>
      <w:r>
        <w:rPr>
          <w:rFonts w:hint="eastAsia"/>
          <w:kern w:val="2"/>
        </w:rPr>
        <w:t>×</w:t>
      </w:r>
      <w:r>
        <w:rPr>
          <w:kern w:val="2"/>
        </w:rPr>
        <w:t>1</w:t>
      </w:r>
      <w:r>
        <w:rPr>
          <w:rFonts w:hint="eastAsia"/>
          <w:kern w:val="2"/>
        </w:rPr>
        <w:t>、控制网口×</w:t>
      </w:r>
      <w:r>
        <w:rPr>
          <w:kern w:val="2"/>
        </w:rPr>
        <w:t>2</w:t>
      </w:r>
      <w:r>
        <w:rPr>
          <w:rFonts w:hint="eastAsia"/>
          <w:kern w:val="2"/>
        </w:rPr>
        <w:t>、</w:t>
      </w:r>
      <w:r>
        <w:rPr>
          <w:kern w:val="2"/>
        </w:rPr>
        <w:t>RS485</w:t>
      </w:r>
      <w:r>
        <w:rPr>
          <w:rFonts w:hint="eastAsia"/>
          <w:kern w:val="2"/>
        </w:rPr>
        <w:t>×</w:t>
      </w:r>
      <w:r>
        <w:rPr>
          <w:kern w:val="2"/>
        </w:rPr>
        <w:t>1</w:t>
      </w:r>
      <w:r>
        <w:rPr>
          <w:rFonts w:hint="eastAsia"/>
          <w:kern w:val="2"/>
        </w:rPr>
        <w:t>、</w:t>
      </w:r>
      <w:r>
        <w:rPr>
          <w:kern w:val="2"/>
        </w:rPr>
        <w:t>IR IN</w:t>
      </w:r>
      <w:r>
        <w:rPr>
          <w:rFonts w:hint="eastAsia"/>
          <w:kern w:val="2"/>
        </w:rPr>
        <w:t>×</w:t>
      </w:r>
      <w:r>
        <w:rPr>
          <w:kern w:val="2"/>
        </w:rPr>
        <w:t>1</w:t>
      </w:r>
      <w:r>
        <w:rPr>
          <w:rFonts w:hint="eastAsia"/>
          <w:kern w:val="2"/>
        </w:rPr>
        <w:t>；输出：</w:t>
      </w:r>
      <w:r>
        <w:rPr>
          <w:kern w:val="2"/>
        </w:rPr>
        <w:t>Audio OUT</w:t>
      </w:r>
      <w:r>
        <w:rPr>
          <w:rFonts w:hint="eastAsia"/>
          <w:kern w:val="2"/>
        </w:rPr>
        <w:t>×</w:t>
      </w:r>
      <w:r>
        <w:rPr>
          <w:kern w:val="2"/>
        </w:rPr>
        <w:t>1,</w:t>
      </w:r>
      <w:r>
        <w:rPr>
          <w:rFonts w:hint="eastAsia"/>
          <w:kern w:val="2"/>
        </w:rPr>
        <w:t>带载网口×</w:t>
      </w:r>
      <w:r>
        <w:rPr>
          <w:kern w:val="2"/>
        </w:rPr>
        <w:t>6</w:t>
      </w:r>
      <w:r>
        <w:rPr>
          <w:rFonts w:hint="eastAsia"/>
          <w:kern w:val="2"/>
        </w:rPr>
        <w:t>；按键：开关×</w:t>
      </w:r>
      <w:r>
        <w:rPr>
          <w:kern w:val="2"/>
        </w:rPr>
        <w:t>1</w:t>
      </w:r>
      <w:r>
        <w:rPr>
          <w:rFonts w:hint="eastAsia"/>
          <w:kern w:val="2"/>
        </w:rPr>
        <w:t>、功能按键×</w:t>
      </w:r>
      <w:r>
        <w:rPr>
          <w:kern w:val="2"/>
        </w:rPr>
        <w:t>3</w:t>
      </w:r>
    </w:p>
    <w:p w14:paraId="1B559D5D">
      <w:pPr>
        <w:pStyle w:val="124"/>
        <w:rPr>
          <w:kern w:val="2"/>
        </w:rPr>
      </w:pPr>
      <w:r>
        <w:rPr>
          <w:rFonts w:hint="eastAsia"/>
          <w:kern w:val="2"/>
        </w:rPr>
        <w:t>控制网口×</w:t>
      </w:r>
      <w:r>
        <w:rPr>
          <w:kern w:val="2"/>
        </w:rPr>
        <w:t>2</w:t>
      </w:r>
      <w:r>
        <w:rPr>
          <w:rFonts w:hint="eastAsia"/>
          <w:kern w:val="2"/>
        </w:rPr>
        <w:t>，支持</w:t>
      </w:r>
      <w:r>
        <w:rPr>
          <w:kern w:val="2"/>
        </w:rPr>
        <w:t>TCP/IP</w:t>
      </w:r>
      <w:r>
        <w:rPr>
          <w:rFonts w:hint="eastAsia"/>
          <w:kern w:val="2"/>
        </w:rPr>
        <w:t>网络协议，双网口均可用于控制设备或设备网络级联，其中一个接口用于控制设备时，另外一个网口就用于设备网络级联。</w:t>
      </w:r>
    </w:p>
    <w:p w14:paraId="3E82AA03">
      <w:pPr>
        <w:pStyle w:val="124"/>
        <w:rPr>
          <w:kern w:val="2"/>
        </w:rPr>
      </w:pPr>
      <w:r>
        <w:rPr>
          <w:rFonts w:hint="eastAsia"/>
          <w:kern w:val="2"/>
        </w:rPr>
        <w:t>单网口带载最大</w:t>
      </w:r>
      <w:r>
        <w:rPr>
          <w:kern w:val="2"/>
        </w:rPr>
        <w:t>65W</w:t>
      </w:r>
      <w:r>
        <w:rPr>
          <w:rFonts w:hint="eastAsia"/>
          <w:kern w:val="2"/>
        </w:rPr>
        <w:t>像素，设备总带载最大</w:t>
      </w:r>
      <w:r>
        <w:rPr>
          <w:kern w:val="2"/>
        </w:rPr>
        <w:t>390W</w:t>
      </w:r>
      <w:r>
        <w:rPr>
          <w:rFonts w:hint="eastAsia"/>
          <w:kern w:val="2"/>
        </w:rPr>
        <w:t>像素。</w:t>
      </w:r>
    </w:p>
    <w:p w14:paraId="35C11BE4">
      <w:pPr>
        <w:pStyle w:val="124"/>
        <w:rPr>
          <w:kern w:val="2"/>
        </w:rPr>
      </w:pPr>
      <w:r>
        <w:rPr>
          <w:rFonts w:hint="eastAsia"/>
          <w:kern w:val="2"/>
        </w:rPr>
        <w:t>支持通过设备自带</w:t>
      </w:r>
      <w:r>
        <w:rPr>
          <w:kern w:val="2"/>
        </w:rPr>
        <w:t>Web</w:t>
      </w:r>
      <w:r>
        <w:rPr>
          <w:rFonts w:hint="eastAsia"/>
          <w:kern w:val="2"/>
        </w:rPr>
        <w:t>浏览器、客户端、遥控器操作，对图像的图像的亮度、色温以及图像模式进行调节设置。</w:t>
      </w:r>
    </w:p>
    <w:p w14:paraId="4C57DBC2">
      <w:pPr>
        <w:pStyle w:val="124"/>
        <w:rPr>
          <w:kern w:val="2"/>
        </w:rPr>
      </w:pPr>
      <w:r>
        <w:rPr>
          <w:rFonts w:hint="eastAsia"/>
          <w:kern w:val="2"/>
        </w:rPr>
        <w:t>支持红绿蓝三色多级调节。支持通过客户端、遥控器进行调节。</w:t>
      </w:r>
    </w:p>
    <w:p w14:paraId="61968AD3">
      <w:pPr>
        <w:pStyle w:val="124"/>
        <w:rPr>
          <w:kern w:val="2"/>
        </w:rPr>
      </w:pPr>
      <w:r>
        <w:rPr>
          <w:rFonts w:hint="eastAsia"/>
          <w:kern w:val="2"/>
        </w:rPr>
        <w:t>支持射频遥控器和红外两种遥控器。</w:t>
      </w:r>
    </w:p>
    <w:p w14:paraId="6758A953">
      <w:pPr>
        <w:pStyle w:val="124"/>
        <w:rPr>
          <w:kern w:val="2"/>
        </w:rPr>
      </w:pPr>
      <w:r>
        <w:rPr>
          <w:rFonts w:hint="eastAsia"/>
          <w:kern w:val="2"/>
        </w:rPr>
        <w:t>支持任意走线、</w:t>
      </w:r>
      <w:r>
        <w:rPr>
          <w:kern w:val="2"/>
        </w:rPr>
        <w:t>LED</w:t>
      </w:r>
      <w:r>
        <w:rPr>
          <w:rFonts w:hint="eastAsia"/>
          <w:kern w:val="2"/>
        </w:rPr>
        <w:t>屏幕带载无矩形框架限制。</w:t>
      </w:r>
    </w:p>
    <w:p w14:paraId="4F64CBD7">
      <w:pPr>
        <w:pStyle w:val="124"/>
        <w:rPr>
          <w:kern w:val="2"/>
        </w:rPr>
      </w:pPr>
      <w:r>
        <w:rPr>
          <w:rFonts w:hint="eastAsia"/>
          <w:kern w:val="2"/>
        </w:rPr>
        <w:t>可将输入信号进行缩放，以匹配</w:t>
      </w:r>
      <w:r>
        <w:rPr>
          <w:kern w:val="2"/>
        </w:rPr>
        <w:t xml:space="preserve"> LED</w:t>
      </w:r>
      <w:r>
        <w:rPr>
          <w:rFonts w:hint="eastAsia"/>
          <w:kern w:val="2"/>
        </w:rPr>
        <w:t>的分辨率进行输出。</w:t>
      </w:r>
    </w:p>
    <w:p w14:paraId="68ECC627">
      <w:pPr>
        <w:pStyle w:val="124"/>
        <w:rPr>
          <w:kern w:val="2"/>
          <w:szCs w:val="24"/>
        </w:rPr>
      </w:pPr>
      <w:r>
        <w:rPr>
          <w:rFonts w:hint="eastAsia"/>
        </w:rPr>
        <w:t>可通过设备自带</w:t>
      </w:r>
      <w:r>
        <w:t>Web</w:t>
      </w:r>
      <w:r>
        <w:rPr>
          <w:rFonts w:hint="eastAsia"/>
        </w:rPr>
        <w:t>浏览器、客户端、遥控器同时控制多台发送卡设备参数的调节。</w:t>
      </w:r>
      <w:r>
        <w:rPr>
          <w:rFonts w:hint="eastAsia"/>
          <w:kern w:val="2"/>
          <w:szCs w:val="24"/>
        </w:rPr>
        <w:t>支持网络在线设备搜索、日志查询和用户手册查询功能。</w:t>
      </w:r>
    </w:p>
    <w:p w14:paraId="5E7AB835">
      <w:pPr>
        <w:pStyle w:val="124"/>
        <w:rPr>
          <w:kern w:val="2"/>
        </w:rPr>
      </w:pPr>
      <w:r>
        <w:rPr>
          <w:rFonts w:hint="eastAsia"/>
          <w:kern w:val="2"/>
        </w:rPr>
        <w:t>支持通过</w:t>
      </w:r>
      <w:r>
        <w:rPr>
          <w:kern w:val="2"/>
        </w:rPr>
        <w:t>Web</w:t>
      </w:r>
      <w:r>
        <w:rPr>
          <w:rFonts w:hint="eastAsia"/>
          <w:kern w:val="2"/>
        </w:rPr>
        <w:t>区分屏幕走线正常</w:t>
      </w:r>
      <w:r>
        <w:rPr>
          <w:kern w:val="2"/>
        </w:rPr>
        <w:t>/</w:t>
      </w:r>
      <w:r>
        <w:rPr>
          <w:rFonts w:hint="eastAsia"/>
          <w:kern w:val="2"/>
        </w:rPr>
        <w:t>掉线</w:t>
      </w:r>
      <w:r>
        <w:rPr>
          <w:kern w:val="2"/>
        </w:rPr>
        <w:t>/</w:t>
      </w:r>
      <w:r>
        <w:rPr>
          <w:rFonts w:hint="eastAsia"/>
          <w:kern w:val="2"/>
        </w:rPr>
        <w:t>异常等状态。</w:t>
      </w:r>
    </w:p>
    <w:p w14:paraId="24F9B4A1">
      <w:pPr>
        <w:pStyle w:val="124"/>
        <w:rPr>
          <w:kern w:val="2"/>
        </w:rPr>
      </w:pPr>
      <w:r>
        <w:rPr>
          <w:rFonts w:hint="eastAsia"/>
          <w:kern w:val="2"/>
        </w:rPr>
        <w:t>支持通过</w:t>
      </w:r>
      <w:r>
        <w:rPr>
          <w:kern w:val="2"/>
        </w:rPr>
        <w:t>RS485</w:t>
      </w:r>
      <w:r>
        <w:rPr>
          <w:rFonts w:hint="eastAsia"/>
          <w:kern w:val="2"/>
        </w:rPr>
        <w:t>接口与中控设备进行对接。可自动监测电路中相电压、相电流、零线电流、剩余电流、环境温度、环境湿度，支持脱扣联动、故障联动、报警联动。</w:t>
      </w:r>
    </w:p>
    <w:p w14:paraId="1A934322">
      <w:pPr>
        <w:pStyle w:val="124"/>
        <w:rPr>
          <w:kern w:val="2"/>
        </w:rPr>
      </w:pPr>
      <w:r>
        <w:rPr>
          <w:rFonts w:hint="eastAsia"/>
          <w:kern w:val="2"/>
        </w:rPr>
        <w:t>支持通过</w:t>
      </w:r>
      <w:r>
        <w:rPr>
          <w:kern w:val="2"/>
        </w:rPr>
        <w:t>Web</w:t>
      </w:r>
      <w:r>
        <w:rPr>
          <w:rFonts w:hint="eastAsia"/>
          <w:kern w:val="2"/>
        </w:rPr>
        <w:t>浏览器登录主设备，查看主发送卡下所有级联从发送卡的屏幕位置、发送卡</w:t>
      </w:r>
      <w:r>
        <w:rPr>
          <w:kern w:val="2"/>
        </w:rPr>
        <w:t xml:space="preserve">IP </w:t>
      </w:r>
      <w:r>
        <w:rPr>
          <w:rFonts w:hint="eastAsia"/>
          <w:kern w:val="2"/>
        </w:rPr>
        <w:t>地址、序列号、带载屏幕分辨率、运行状态、软件版本、运行温度内存使用率等信息。</w:t>
      </w:r>
    </w:p>
    <w:p w14:paraId="67CFDE74">
      <w:pPr>
        <w:widowControl/>
        <w:autoSpaceDE w:val="0"/>
        <w:autoSpaceDN w:val="0"/>
        <w:adjustRightInd/>
        <w:snapToGrid w:val="0"/>
        <w:spacing w:line="360" w:lineRule="auto"/>
        <w:jc w:val="both"/>
        <w:textAlignment w:val="bottom"/>
        <w:rPr>
          <w:kern w:val="2"/>
          <w:szCs w:val="24"/>
        </w:rPr>
      </w:pPr>
      <w:r>
        <w:rPr>
          <w:rFonts w:hint="eastAsia"/>
          <w:kern w:val="2"/>
          <w:szCs w:val="24"/>
        </w:rPr>
        <w:t>4.5.3 大屏处理器</w:t>
      </w:r>
    </w:p>
    <w:p w14:paraId="2C9606C5">
      <w:pPr>
        <w:pStyle w:val="124"/>
      </w:pPr>
      <w:r>
        <w:rPr>
          <w:rFonts w:hint="eastAsia"/>
        </w:rPr>
        <w:t>具备标准HDMI、DP接口，HDMI、DP接口具有热备份功能，同时具备采集4K、8K超高清视频能力。本次工程配置至少32路HDMI、DP输入，接口类型满足工程需求。</w:t>
      </w:r>
    </w:p>
    <w:p w14:paraId="128E8C5C">
      <w:pPr>
        <w:pStyle w:val="124"/>
      </w:pPr>
      <w:r>
        <w:rPr>
          <w:rFonts w:hint="eastAsia"/>
        </w:rPr>
        <w:t>机箱为</w:t>
      </w:r>
      <w:r>
        <w:t>4.5U</w:t>
      </w:r>
      <w:r>
        <w:rPr>
          <w:rFonts w:hint="eastAsia"/>
        </w:rPr>
        <w:t>标准机架式机箱，具有</w:t>
      </w:r>
      <w:r>
        <w:t>10</w:t>
      </w:r>
      <w:r>
        <w:rPr>
          <w:rFonts w:hint="eastAsia"/>
        </w:rPr>
        <w:t>槽位，输入最高支持</w:t>
      </w:r>
      <w:r>
        <w:t>40</w:t>
      </w:r>
      <w:r>
        <w:rPr>
          <w:rFonts w:hint="eastAsia"/>
        </w:rPr>
        <w:t>路，输出最高支持</w:t>
      </w:r>
      <w:r>
        <w:t>60</w:t>
      </w:r>
      <w:r>
        <w:rPr>
          <w:rFonts w:hint="eastAsia"/>
        </w:rPr>
        <w:t>路；同时支持双电源、双主控。</w:t>
      </w:r>
    </w:p>
    <w:p w14:paraId="01AB6245">
      <w:pPr>
        <w:pStyle w:val="124"/>
      </w:pPr>
      <w:r>
        <w:rPr>
          <w:rFonts w:hint="eastAsia"/>
        </w:rPr>
        <w:t>采用嵌入式纯硬件架构，无需其他操作系统。</w:t>
      </w:r>
    </w:p>
    <w:p w14:paraId="26E59110">
      <w:pPr>
        <w:pStyle w:val="124"/>
      </w:pPr>
      <w:r>
        <w:rPr>
          <w:rFonts w:hint="eastAsia"/>
        </w:rPr>
        <w:t>支持选中取流成功的窗口操作远程云台功能。</w:t>
      </w:r>
    </w:p>
    <w:p w14:paraId="4FFADBCB">
      <w:pPr>
        <w:pStyle w:val="124"/>
      </w:pPr>
      <w:r>
        <w:rPr>
          <w:rFonts w:hint="eastAsia"/>
        </w:rPr>
        <w:t>将远程笔记本桌面进行整屏、单窗口抓屏上墙，实时画面帧率最大≥</w:t>
      </w:r>
      <w:r>
        <w:t>30fps</w:t>
      </w:r>
      <w:r>
        <w:rPr>
          <w:rFonts w:hint="eastAsia"/>
        </w:rPr>
        <w:t>；支持同时至少4路</w:t>
      </w:r>
      <w:r>
        <w:t>4K</w:t>
      </w:r>
      <w:r>
        <w:rPr>
          <w:rFonts w:hint="eastAsia"/>
        </w:rPr>
        <w:t>（</w:t>
      </w:r>
      <w:r>
        <w:t>3840</w:t>
      </w:r>
      <w:r>
        <w:rPr>
          <w:rFonts w:hint="eastAsia"/>
        </w:rPr>
        <w:t>×</w:t>
      </w:r>
      <w:r>
        <w:t>2160</w:t>
      </w:r>
      <w:r>
        <w:rPr>
          <w:rFonts w:hint="eastAsia"/>
        </w:rPr>
        <w:t>）信号上墙显示，且上墙前后</w:t>
      </w:r>
      <w:r>
        <w:t xml:space="preserve"> CPU </w:t>
      </w:r>
      <w:r>
        <w:rPr>
          <w:rFonts w:hint="eastAsia"/>
        </w:rPr>
        <w:t>占用率无明显变化；支持在电视墙进行至少4画面分割显示，具体满足工程需求。</w:t>
      </w:r>
    </w:p>
    <w:p w14:paraId="65CEE870">
      <w:pPr>
        <w:pStyle w:val="124"/>
      </w:pPr>
      <w:r>
        <w:rPr>
          <w:rFonts w:hint="eastAsia"/>
        </w:rPr>
        <w:t>支持通过客户端预编辑操作。预编辑不实时上墙，待完成编辑后切换上墙；预编辑操作包括窗口操作</w:t>
      </w:r>
      <w:r>
        <w:t>(</w:t>
      </w:r>
      <w:r>
        <w:rPr>
          <w:rFonts w:hint="eastAsia"/>
        </w:rPr>
        <w:t>开关窗、漫游、缩放、分屏、置顶、置底、子窗口放大还原、启停解码</w:t>
      </w:r>
      <w:r>
        <w:t>)</w:t>
      </w:r>
      <w:r>
        <w:rPr>
          <w:rFonts w:hint="eastAsia"/>
        </w:rPr>
        <w:t>、上墙操作（本地信号源、网络源上墙、单窗口轮巡、多窗口轮巡）、字幕操作（开启、关闭、设置参数）。单墙预编辑操作的过程中其他电视墙不受影响。</w:t>
      </w:r>
    </w:p>
    <w:p w14:paraId="4DB80DE4">
      <w:pPr>
        <w:pStyle w:val="124"/>
      </w:pPr>
      <w:r>
        <w:rPr>
          <w:rFonts w:hint="eastAsia"/>
        </w:rPr>
        <w:t>支持将</w:t>
      </w:r>
      <w:r>
        <w:t>1</w:t>
      </w:r>
      <w:r>
        <w:rPr>
          <w:rFonts w:hint="eastAsia"/>
        </w:rPr>
        <w:t>路输入视频图像发送至多个输出接口拼接显示；支持将多路输入视频图像发送至多个输出接口拼接显示；支持设备内任意输出解码板之间的拼接或集群内任意设备输出口拼接功能。最大支持拼接</w:t>
      </w:r>
      <w:r>
        <w:t>32</w:t>
      </w:r>
      <w:r>
        <w:rPr>
          <w:rFonts w:hint="eastAsia"/>
        </w:rPr>
        <w:t>路（</w:t>
      </w:r>
      <w:r>
        <w:t xml:space="preserve">1920 </w:t>
      </w:r>
      <w:r>
        <w:rPr>
          <w:rFonts w:hint="eastAsia"/>
        </w:rPr>
        <w:t>×</w:t>
      </w:r>
      <w:r>
        <w:t>1080</w:t>
      </w:r>
      <w:r>
        <w:rPr>
          <w:rFonts w:hint="eastAsia"/>
        </w:rPr>
        <w:t>）像素的视频图像；拼接时不同输出口之间画面同步，无撕裂感，且无缝拼接。支持多块屏幕图像的任意规格拼接，支持将所有显示单元拼接形成一个高分辨率的无缝单一屏。全屏刷新时间≤</w:t>
      </w:r>
      <w:r>
        <w:t>20ms</w:t>
      </w:r>
      <w:r>
        <w:rPr>
          <w:rFonts w:hint="eastAsia"/>
        </w:rPr>
        <w:t>。</w:t>
      </w:r>
    </w:p>
    <w:p w14:paraId="28F9D1AD">
      <w:pPr>
        <w:pStyle w:val="124"/>
      </w:pPr>
      <w:r>
        <w:rPr>
          <w:rFonts w:hint="eastAsia"/>
        </w:rPr>
        <w:t>支持对接入视频图像进行</w:t>
      </w:r>
      <w:r>
        <w:t>1/4/6/8/9/16/25/36/49/64</w:t>
      </w:r>
      <w:r>
        <w:rPr>
          <w:rFonts w:hint="eastAsia"/>
        </w:rPr>
        <w:t>画面分割显示，视频切换流畅无黑屏。整机</w:t>
      </w:r>
      <w:r>
        <w:t>10</w:t>
      </w:r>
      <w:r>
        <w:rPr>
          <w:rFonts w:hint="eastAsia"/>
        </w:rPr>
        <w:t>张解码板支持最大</w:t>
      </w:r>
      <w:r>
        <w:t>512</w:t>
      </w:r>
      <w:r>
        <w:rPr>
          <w:rFonts w:hint="eastAsia"/>
        </w:rPr>
        <w:t>个窗口。</w:t>
      </w:r>
    </w:p>
    <w:p w14:paraId="12ED9844">
      <w:pPr>
        <w:pStyle w:val="124"/>
      </w:pPr>
      <w:r>
        <w:rPr>
          <w:rFonts w:hint="eastAsia"/>
        </w:rPr>
        <w:t>支持日期时间和字符两种字符叠加（</w:t>
      </w:r>
      <w:r>
        <w:t>OSD</w:t>
      </w:r>
      <w:r>
        <w:rPr>
          <w:rFonts w:hint="eastAsia"/>
        </w:rPr>
        <w:t>）类型配置。支持手动启用或停用</w:t>
      </w:r>
      <w:r>
        <w:t>OSD</w:t>
      </w:r>
      <w:r>
        <w:rPr>
          <w:rFonts w:hint="eastAsia"/>
        </w:rPr>
        <w:t>；日期时间</w:t>
      </w:r>
      <w:r>
        <w:t>OSD</w:t>
      </w:r>
      <w:r>
        <w:rPr>
          <w:rFonts w:hint="eastAsia"/>
        </w:rPr>
        <w:t>支持修改日期格式和时间格式；字符叠加</w:t>
      </w:r>
      <w:r>
        <w:t>OSD</w:t>
      </w:r>
      <w:r>
        <w:rPr>
          <w:rFonts w:hint="eastAsia"/>
        </w:rPr>
        <w:t>支持自定义</w:t>
      </w:r>
      <w:r>
        <w:t>OSD</w:t>
      </w:r>
      <w:r>
        <w:rPr>
          <w:rFonts w:hint="eastAsia"/>
        </w:rPr>
        <w:t>内容，并支持修改字体大小、字体颜色和</w:t>
      </w:r>
      <w:r>
        <w:t>OSD</w:t>
      </w:r>
      <w:r>
        <w:rPr>
          <w:rFonts w:hint="eastAsia"/>
        </w:rPr>
        <w:t>显示位置坐标；支持将一个本地信号源的</w:t>
      </w:r>
      <w:r>
        <w:t>OSD</w:t>
      </w:r>
      <w:r>
        <w:rPr>
          <w:rFonts w:hint="eastAsia"/>
        </w:rPr>
        <w:t>配置参数复制到其他通道进行批量配置；客户端可实时预览叠加</w:t>
      </w:r>
      <w:r>
        <w:t>OSD</w:t>
      </w:r>
      <w:r>
        <w:rPr>
          <w:rFonts w:hint="eastAsia"/>
        </w:rPr>
        <w:t>的图像。</w:t>
      </w:r>
    </w:p>
    <w:p w14:paraId="3FF727F1">
      <w:pPr>
        <w:pStyle w:val="124"/>
      </w:pPr>
      <w:r>
        <w:rPr>
          <w:rFonts w:hint="eastAsia"/>
        </w:rPr>
        <w:t>支持虚拟</w:t>
      </w:r>
      <w:r>
        <w:t>LED</w:t>
      </w:r>
      <w:r>
        <w:rPr>
          <w:rFonts w:hint="eastAsia"/>
        </w:rPr>
        <w:t>字幕功能，支持设置字体颜色、背景颜色，滚动和静止模式，滚动速度，滚动的情况下要求流畅无卡顿；字幕内容输入支持中英文字符，支持换行；设备支持时钟数字显示，时间为设备自身时间；支持配置显示年月日时分秒的样式以及</w:t>
      </w:r>
      <w:r>
        <w:t>12/24</w:t>
      </w:r>
      <w:r>
        <w:rPr>
          <w:rFonts w:hint="eastAsia"/>
        </w:rPr>
        <w:t>时间制式；整机</w:t>
      </w:r>
      <w:r>
        <w:t>10</w:t>
      </w:r>
      <w:r>
        <w:rPr>
          <w:rFonts w:hint="eastAsia"/>
        </w:rPr>
        <w:t>张解码卡最大支持</w:t>
      </w:r>
      <w:r>
        <w:t>8</w:t>
      </w:r>
      <w:r>
        <w:rPr>
          <w:rFonts w:hint="eastAsia"/>
        </w:rPr>
        <w:t>个字幕同时显示，单墙支持</w:t>
      </w:r>
      <w:r>
        <w:t>3</w:t>
      </w:r>
      <w:r>
        <w:rPr>
          <w:rFonts w:hint="eastAsia"/>
        </w:rPr>
        <w:t>条字幕；支持滚动模式下首尾相接效果，支持跑马灯效果。</w:t>
      </w:r>
    </w:p>
    <w:p w14:paraId="07C42E15">
      <w:pPr>
        <w:pStyle w:val="124"/>
      </w:pPr>
      <w:r>
        <w:rPr>
          <w:rFonts w:hint="eastAsia"/>
        </w:rPr>
        <w:t>支持</w:t>
      </w:r>
      <w:r>
        <w:t>IPV6</w:t>
      </w:r>
      <w:r>
        <w:rPr>
          <w:rFonts w:hint="eastAsia"/>
        </w:rPr>
        <w:t>网络协议兼容，支持与</w:t>
      </w:r>
      <w:r>
        <w:t>IPC</w:t>
      </w:r>
      <w:r>
        <w:rPr>
          <w:rFonts w:hint="eastAsia"/>
        </w:rPr>
        <w:t>、</w:t>
      </w:r>
      <w:r>
        <w:t>NVR</w:t>
      </w:r>
      <w:r>
        <w:rPr>
          <w:rFonts w:hint="eastAsia"/>
        </w:rPr>
        <w:t>、平台设备对接。支持获取序列号、软件版本、工作时长、设备温度等屏幕关键信息；支持控制拼接屏开关；支持获取并调节屏幕背光；支持获取并调节屏幕图像模式。支持通过自动识别屏幕的行列号信息生成对应的电视墙规模和绑定输出口关系，进行绑定。支持电源冗余设置，支持（</w:t>
      </w:r>
      <w:r>
        <w:t>1+1</w:t>
      </w:r>
      <w:r>
        <w:rPr>
          <w:rFonts w:hint="eastAsia"/>
        </w:rPr>
        <w:t>）冗余电源，当一路电源模块出现异常时，系统可以自动无缝切换到备用电源模块，电源切换过程系统运行不受影响。支持根据温度变化自动调整转速，风扇模块支持热插拔操作。本地信号源输入到输出延时≤</w:t>
      </w:r>
      <w:r>
        <w:t>80</w:t>
      </w:r>
      <w:r>
        <w:rPr>
          <w:rFonts w:hint="eastAsia"/>
        </w:rPr>
        <w:t>毫秒。</w:t>
      </w:r>
    </w:p>
    <w:p w14:paraId="027FFDB9">
      <w:pPr>
        <w:tabs>
          <w:tab w:val="left" w:pos="1890"/>
        </w:tabs>
        <w:spacing w:line="360" w:lineRule="auto"/>
        <w:rPr>
          <w:kern w:val="2"/>
          <w:szCs w:val="24"/>
        </w:rPr>
      </w:pPr>
      <w:r>
        <w:rPr>
          <w:rFonts w:hint="eastAsia"/>
          <w:kern w:val="2"/>
          <w:szCs w:val="24"/>
        </w:rPr>
        <w:t>4.5.4控制软件一体机</w:t>
      </w:r>
    </w:p>
    <w:p w14:paraId="033556BC">
      <w:pPr>
        <w:pStyle w:val="124"/>
        <w:rPr>
          <w:kern w:val="2"/>
        </w:rPr>
      </w:pPr>
      <w:r>
        <w:rPr>
          <w:rFonts w:hint="eastAsia"/>
          <w:kern w:val="2"/>
        </w:rPr>
        <w:t>为方便管理维护，要求本次显示屏及拼控软件同一品牌，保障产品售后服务。软件需要对接采集</w:t>
      </w:r>
      <w:r>
        <w:rPr>
          <w:kern w:val="2"/>
        </w:rPr>
        <w:t>DCS</w:t>
      </w:r>
      <w:r>
        <w:rPr>
          <w:rFonts w:hint="eastAsia"/>
          <w:kern w:val="2"/>
        </w:rPr>
        <w:t>控制器中生产数据，处理后实现数据上墙显示，投标人需要</w:t>
      </w:r>
      <w:r>
        <w:rPr>
          <w:kern w:val="2"/>
        </w:rPr>
        <w:t>DCS</w:t>
      </w:r>
      <w:r>
        <w:rPr>
          <w:rFonts w:hint="eastAsia"/>
          <w:kern w:val="2"/>
        </w:rPr>
        <w:t>软件数据上墙案例证明。</w:t>
      </w:r>
    </w:p>
    <w:p w14:paraId="304D2A70">
      <w:pPr>
        <w:pStyle w:val="124"/>
        <w:rPr>
          <w:kern w:val="2"/>
        </w:rPr>
      </w:pPr>
      <w:r>
        <w:rPr>
          <w:rFonts w:hint="eastAsia"/>
          <w:kern w:val="2"/>
        </w:rPr>
        <w:t>搭载</w:t>
      </w:r>
      <w:r>
        <w:rPr>
          <w:kern w:val="2"/>
        </w:rPr>
        <w:t>8</w:t>
      </w:r>
      <w:r>
        <w:rPr>
          <w:rFonts w:hint="eastAsia"/>
          <w:kern w:val="2"/>
        </w:rPr>
        <w:t>核</w:t>
      </w:r>
      <w:r>
        <w:rPr>
          <w:kern w:val="2"/>
        </w:rPr>
        <w:t>X86</w:t>
      </w:r>
      <w:r>
        <w:rPr>
          <w:rFonts w:hint="eastAsia"/>
          <w:kern w:val="2"/>
        </w:rPr>
        <w:t>系列</w:t>
      </w:r>
      <w:r>
        <w:rPr>
          <w:kern w:val="2"/>
        </w:rPr>
        <w:t>CPU</w:t>
      </w:r>
      <w:r>
        <w:rPr>
          <w:rFonts w:hint="eastAsia"/>
          <w:kern w:val="2"/>
        </w:rPr>
        <w:t>，</w:t>
      </w:r>
      <w:r>
        <w:rPr>
          <w:kern w:val="2"/>
        </w:rPr>
        <w:t>8G</w:t>
      </w:r>
      <w:r>
        <w:rPr>
          <w:rFonts w:hint="eastAsia"/>
          <w:kern w:val="2"/>
        </w:rPr>
        <w:t>双通道内存，</w:t>
      </w:r>
      <w:r>
        <w:rPr>
          <w:kern w:val="2"/>
        </w:rPr>
        <w:t>256G</w:t>
      </w:r>
      <w:r>
        <w:rPr>
          <w:rFonts w:hint="eastAsia"/>
          <w:kern w:val="2"/>
        </w:rPr>
        <w:t>高速</w:t>
      </w:r>
      <w:r>
        <w:rPr>
          <w:kern w:val="2"/>
        </w:rPr>
        <w:t>SSD</w:t>
      </w:r>
      <w:r>
        <w:rPr>
          <w:rFonts w:hint="eastAsia"/>
          <w:kern w:val="2"/>
        </w:rPr>
        <w:t>系统盘，</w:t>
      </w:r>
      <w:r>
        <w:rPr>
          <w:kern w:val="2"/>
        </w:rPr>
        <w:t>2G</w:t>
      </w:r>
      <w:r>
        <w:rPr>
          <w:rFonts w:hint="eastAsia"/>
          <w:kern w:val="2"/>
        </w:rPr>
        <w:t>独立显卡；</w:t>
      </w:r>
    </w:p>
    <w:p w14:paraId="1B61E7BF">
      <w:pPr>
        <w:pStyle w:val="124"/>
        <w:rPr>
          <w:kern w:val="2"/>
        </w:rPr>
      </w:pPr>
      <w:r>
        <w:rPr>
          <w:rFonts w:hint="eastAsia"/>
          <w:kern w:val="2"/>
        </w:rPr>
        <w:t>接口丰富，支持</w:t>
      </w:r>
      <w:r>
        <w:rPr>
          <w:kern w:val="2"/>
        </w:rPr>
        <w:t>HDMI</w:t>
      </w:r>
      <w:r>
        <w:rPr>
          <w:rFonts w:hint="eastAsia"/>
          <w:kern w:val="2"/>
        </w:rPr>
        <w:t>高清音视频输出接口，音频输入</w:t>
      </w:r>
      <w:r>
        <w:rPr>
          <w:kern w:val="2"/>
        </w:rPr>
        <w:t>/</w:t>
      </w:r>
      <w:r>
        <w:rPr>
          <w:rFonts w:hint="eastAsia"/>
          <w:kern w:val="2"/>
        </w:rPr>
        <w:t>输出接口，双千兆网口，</w:t>
      </w:r>
      <w:r>
        <w:rPr>
          <w:kern w:val="2"/>
        </w:rPr>
        <w:t>4</w:t>
      </w:r>
      <w:r>
        <w:rPr>
          <w:rFonts w:hint="eastAsia"/>
          <w:kern w:val="2"/>
        </w:rPr>
        <w:t>个</w:t>
      </w:r>
      <w:r>
        <w:rPr>
          <w:kern w:val="2"/>
        </w:rPr>
        <w:t>USB2.0+4</w:t>
      </w:r>
      <w:r>
        <w:rPr>
          <w:rFonts w:hint="eastAsia"/>
          <w:kern w:val="2"/>
        </w:rPr>
        <w:t>个</w:t>
      </w:r>
      <w:r>
        <w:rPr>
          <w:kern w:val="2"/>
        </w:rPr>
        <w:t>USB3.0</w:t>
      </w:r>
      <w:r>
        <w:rPr>
          <w:rFonts w:hint="eastAsia"/>
          <w:kern w:val="2"/>
        </w:rPr>
        <w:t>接口</w:t>
      </w:r>
    </w:p>
    <w:p w14:paraId="16044D27">
      <w:pPr>
        <w:pStyle w:val="124"/>
        <w:rPr>
          <w:kern w:val="2"/>
        </w:rPr>
      </w:pPr>
      <w:r>
        <w:rPr>
          <w:rFonts w:hint="eastAsia"/>
          <w:kern w:val="2"/>
        </w:rPr>
        <w:t>软硬一体设计，出厂自带</w:t>
      </w:r>
      <w:r>
        <w:rPr>
          <w:kern w:val="2"/>
        </w:rPr>
        <w:t>Windows</w:t>
      </w:r>
      <w:r>
        <w:rPr>
          <w:rFonts w:hint="eastAsia"/>
          <w:kern w:val="2"/>
        </w:rPr>
        <w:t>操作系统及已授权平台软件，免安装易部署；</w:t>
      </w:r>
    </w:p>
    <w:p w14:paraId="3E107E93">
      <w:pPr>
        <w:pStyle w:val="124"/>
        <w:rPr>
          <w:kern w:val="2"/>
        </w:rPr>
      </w:pPr>
      <w:r>
        <w:rPr>
          <w:rFonts w:hint="eastAsia"/>
          <w:kern w:val="2"/>
        </w:rPr>
        <w:t>预装智能大屏管理平台，具备</w:t>
      </w:r>
      <w:r>
        <w:rPr>
          <w:kern w:val="2"/>
        </w:rPr>
        <w:t>C/S</w:t>
      </w:r>
      <w:r>
        <w:rPr>
          <w:rFonts w:hint="eastAsia"/>
          <w:kern w:val="2"/>
        </w:rPr>
        <w:t>和</w:t>
      </w:r>
      <w:r>
        <w:rPr>
          <w:kern w:val="2"/>
        </w:rPr>
        <w:t>B/S</w:t>
      </w:r>
      <w:r>
        <w:rPr>
          <w:rFonts w:hint="eastAsia"/>
          <w:kern w:val="2"/>
        </w:rPr>
        <w:t>结构，可通过客户端软件、平板和浏览器对大屏系统进行统一管理，包括大屏门户、场景配置、预案切换、远程操控、信号控制、一键上墙、内容切换、多屏互动、窗口叠加</w:t>
      </w:r>
      <w:r>
        <w:rPr>
          <w:kern w:val="2"/>
        </w:rPr>
        <w:t>/</w:t>
      </w:r>
      <w:r>
        <w:rPr>
          <w:rFonts w:hint="eastAsia"/>
          <w:kern w:val="2"/>
        </w:rPr>
        <w:t>拼接</w:t>
      </w:r>
      <w:r>
        <w:rPr>
          <w:kern w:val="2"/>
        </w:rPr>
        <w:t>/</w:t>
      </w:r>
      <w:r>
        <w:rPr>
          <w:rFonts w:hint="eastAsia"/>
          <w:kern w:val="2"/>
        </w:rPr>
        <w:t>漫游</w:t>
      </w:r>
      <w:r>
        <w:rPr>
          <w:kern w:val="2"/>
        </w:rPr>
        <w:t>/</w:t>
      </w:r>
      <w:r>
        <w:rPr>
          <w:rFonts w:hint="eastAsia"/>
          <w:kern w:val="2"/>
        </w:rPr>
        <w:t>放大</w:t>
      </w:r>
      <w:r>
        <w:rPr>
          <w:kern w:val="2"/>
        </w:rPr>
        <w:t>/</w:t>
      </w:r>
      <w:r>
        <w:rPr>
          <w:rFonts w:hint="eastAsia"/>
          <w:kern w:val="2"/>
        </w:rPr>
        <w:t>缩小</w:t>
      </w:r>
      <w:r>
        <w:rPr>
          <w:kern w:val="2"/>
        </w:rPr>
        <w:t>/</w:t>
      </w:r>
      <w:r>
        <w:rPr>
          <w:rFonts w:hint="eastAsia"/>
          <w:kern w:val="2"/>
        </w:rPr>
        <w:t>移动</w:t>
      </w:r>
      <w:r>
        <w:rPr>
          <w:kern w:val="2"/>
        </w:rPr>
        <w:t>/</w:t>
      </w:r>
      <w:r>
        <w:rPr>
          <w:rFonts w:hint="eastAsia"/>
          <w:kern w:val="2"/>
        </w:rPr>
        <w:t>关闭等操作；支持查看信号源实时画面，实时查看大屏中正在播放的内容等功能；</w:t>
      </w:r>
    </w:p>
    <w:p w14:paraId="19D4AA17">
      <w:pPr>
        <w:pStyle w:val="124"/>
        <w:rPr>
          <w:kern w:val="2"/>
        </w:rPr>
      </w:pPr>
      <w:r>
        <w:rPr>
          <w:rFonts w:hint="eastAsia"/>
          <w:kern w:val="2"/>
        </w:rPr>
        <w:t>系统支持网页、客户端、</w:t>
      </w:r>
      <w:r>
        <w:rPr>
          <w:kern w:val="2"/>
        </w:rPr>
        <w:t>APP</w:t>
      </w:r>
      <w:r>
        <w:rPr>
          <w:rFonts w:hint="eastAsia"/>
          <w:kern w:val="2"/>
        </w:rPr>
        <w:t>（安卓、鸿蒙、</w:t>
      </w:r>
      <w:r>
        <w:rPr>
          <w:kern w:val="2"/>
        </w:rPr>
        <w:t>IOS</w:t>
      </w:r>
      <w:r>
        <w:rPr>
          <w:rFonts w:hint="eastAsia"/>
          <w:kern w:val="2"/>
        </w:rPr>
        <w:t>、</w:t>
      </w:r>
      <w:r>
        <w:rPr>
          <w:kern w:val="2"/>
        </w:rPr>
        <w:t>windows</w:t>
      </w:r>
      <w:r>
        <w:rPr>
          <w:rFonts w:hint="eastAsia"/>
          <w:kern w:val="2"/>
        </w:rPr>
        <w:t>）三端数据实时同步；</w:t>
      </w:r>
      <w:r>
        <w:rPr>
          <w:kern w:val="2"/>
        </w:rPr>
        <w:t>WEB</w:t>
      </w:r>
      <w:r>
        <w:rPr>
          <w:rFonts w:hint="eastAsia"/>
          <w:kern w:val="2"/>
        </w:rPr>
        <w:t>端、平板端、客户端均可以所见即所得的查看在线场景、离线场景的画面布局、场景的实时画面，以及信号的实时画面；</w:t>
      </w:r>
    </w:p>
    <w:p w14:paraId="0E8E0249">
      <w:pPr>
        <w:pStyle w:val="124"/>
        <w:rPr>
          <w:kern w:val="2"/>
        </w:rPr>
      </w:pPr>
      <w:r>
        <w:rPr>
          <w:rFonts w:hint="eastAsia"/>
          <w:kern w:val="2"/>
        </w:rPr>
        <w:t>支持控制大屏开机、关机、除湿、设置高性能</w:t>
      </w:r>
      <w:r>
        <w:rPr>
          <w:kern w:val="2"/>
        </w:rPr>
        <w:t>/</w:t>
      </w:r>
      <w:r>
        <w:rPr>
          <w:rFonts w:hint="eastAsia"/>
          <w:kern w:val="2"/>
        </w:rPr>
        <w:t>常规</w:t>
      </w:r>
      <w:r>
        <w:rPr>
          <w:kern w:val="2"/>
        </w:rPr>
        <w:t>/</w:t>
      </w:r>
      <w:r>
        <w:rPr>
          <w:rFonts w:hint="eastAsia"/>
          <w:kern w:val="2"/>
        </w:rPr>
        <w:t>节能</w:t>
      </w:r>
      <w:r>
        <w:rPr>
          <w:kern w:val="2"/>
        </w:rPr>
        <w:t>/HDR</w:t>
      </w:r>
      <w:r>
        <w:rPr>
          <w:rFonts w:hint="eastAsia"/>
          <w:kern w:val="2"/>
        </w:rPr>
        <w:t>等模式、设置标准</w:t>
      </w:r>
      <w:r>
        <w:rPr>
          <w:kern w:val="2"/>
        </w:rPr>
        <w:t>/</w:t>
      </w:r>
      <w:r>
        <w:rPr>
          <w:rFonts w:hint="eastAsia"/>
          <w:kern w:val="2"/>
        </w:rPr>
        <w:t>冷色</w:t>
      </w:r>
      <w:r>
        <w:rPr>
          <w:kern w:val="2"/>
        </w:rPr>
        <w:t>/</w:t>
      </w:r>
      <w:r>
        <w:rPr>
          <w:rFonts w:hint="eastAsia"/>
          <w:kern w:val="2"/>
        </w:rPr>
        <w:t>暖色</w:t>
      </w:r>
      <w:r>
        <w:rPr>
          <w:kern w:val="2"/>
        </w:rPr>
        <w:t>/</w:t>
      </w:r>
      <w:r>
        <w:rPr>
          <w:rFonts w:hint="eastAsia"/>
          <w:kern w:val="2"/>
        </w:rPr>
        <w:t>自定义色温、设置亮度、护眼模式、监控模式、会议模式等智能控制功能。</w:t>
      </w:r>
    </w:p>
    <w:p w14:paraId="78FA5A65">
      <w:pPr>
        <w:pStyle w:val="124"/>
        <w:rPr>
          <w:kern w:val="2"/>
        </w:rPr>
      </w:pPr>
      <w:r>
        <w:rPr>
          <w:rFonts w:hint="eastAsia"/>
          <w:kern w:val="2"/>
        </w:rPr>
        <w:t>支持多用户登录，用户数量无限制，多用户操作同步实现多人协同办公，操作同步显示；支持权限管理设置，可以创建多种用户角色，针对不同的用户角色可分配不同的组织权限、屏幕墙操控管理权限，支持角色分组，实现系统的多级分组管理。</w:t>
      </w:r>
    </w:p>
    <w:p w14:paraId="376AD784">
      <w:pPr>
        <w:pStyle w:val="124"/>
        <w:rPr>
          <w:kern w:val="2"/>
          <w:szCs w:val="24"/>
        </w:rPr>
      </w:pPr>
      <w:r>
        <w:rPr>
          <w:rFonts w:hint="eastAsia"/>
        </w:rPr>
        <w:t>支持对拼控大屏创建场景、修改、删除、重命名、复制、关联中控模式、移动场景分组、调整场景顺序、锁定场景布局、播放场景、搜索场景等，并且场景数量无限制；场景列表中可显示场景播放状态、锁定状态。支持对拼控大屏添加、删除、重命名场景</w:t>
      </w:r>
      <w:r>
        <w:rPr>
          <w:rFonts w:hint="eastAsia"/>
          <w:kern w:val="2"/>
          <w:szCs w:val="24"/>
        </w:rPr>
        <w:t>分组，场景分组数量无限制，可在场景分组下创建指定的场景。</w:t>
      </w:r>
    </w:p>
    <w:p w14:paraId="44D76055">
      <w:pPr>
        <w:widowControl/>
        <w:autoSpaceDE w:val="0"/>
        <w:autoSpaceDN w:val="0"/>
        <w:adjustRightInd/>
        <w:snapToGrid w:val="0"/>
        <w:spacing w:line="360" w:lineRule="auto"/>
        <w:jc w:val="both"/>
        <w:textAlignment w:val="bottom"/>
        <w:rPr>
          <w:kern w:val="2"/>
          <w:szCs w:val="24"/>
        </w:rPr>
      </w:pPr>
      <w:r>
        <w:rPr>
          <w:rFonts w:hint="eastAsia"/>
          <w:kern w:val="2"/>
          <w:szCs w:val="24"/>
        </w:rPr>
        <w:t>4.6 其他要求</w:t>
      </w:r>
    </w:p>
    <w:p w14:paraId="1597864E">
      <w:pPr>
        <w:spacing w:line="360" w:lineRule="auto"/>
        <w:rPr>
          <w:strike/>
          <w:kern w:val="2"/>
          <w:szCs w:val="24"/>
        </w:rPr>
      </w:pPr>
      <w:bookmarkStart w:id="32" w:name="_Toc470861312"/>
      <w:r>
        <w:rPr>
          <w:rFonts w:hint="eastAsia"/>
          <w:kern w:val="2"/>
          <w:szCs w:val="24"/>
        </w:rPr>
        <w:t>4.6.1招标人为LED大屏显示系统提供二路380V/220V AC电源，接入投标人提供的LED屏幕配电箱，配电箱带电源自动切换装置。</w:t>
      </w:r>
      <w:r>
        <w:rPr>
          <w:rFonts w:hint="eastAsia"/>
        </w:rPr>
        <w:t>投标人</w:t>
      </w:r>
      <w:r>
        <w:t>提供配电箱，用于数字墙上安装的各用电设备的电源分配，各回路电源应能独立通断，配电箱嵌入式安装于数字墙背面，并应有防止干扰的屏蔽措施及便于检修的安全措施</w:t>
      </w:r>
      <w:r>
        <w:rPr>
          <w:rFonts w:hint="eastAsia"/>
        </w:rPr>
        <w:t>，配电箱防护等级不低于IP54</w:t>
      </w:r>
      <w:r>
        <w:t>。配电箱应有20％的备用回路，</w:t>
      </w:r>
      <w:r>
        <w:rPr>
          <w:rFonts w:hint="eastAsia"/>
        </w:rPr>
        <w:t>招标人</w:t>
      </w:r>
      <w:r>
        <w:t>仅为此配电箱提供两路220VAC总电源，</w:t>
      </w:r>
      <w:r>
        <w:rPr>
          <w:rFonts w:hint="eastAsia"/>
        </w:rPr>
        <w:t>投标人</w:t>
      </w:r>
      <w:r>
        <w:t>配置电源</w:t>
      </w:r>
      <w:r>
        <w:rPr>
          <w:rFonts w:hint="eastAsia"/>
        </w:rPr>
        <w:t>自动</w:t>
      </w:r>
      <w:r>
        <w:t>切换装置，并提供电负荷</w:t>
      </w:r>
      <w:r>
        <w:rPr>
          <w:rFonts w:ascii="Arial" w:hAnsi="Arial" w:cs="Arial"/>
        </w:rPr>
        <w:t>容量，</w:t>
      </w:r>
      <w:r>
        <w:rPr>
          <w:rFonts w:hint="eastAsia" w:ascii="Arial" w:hAnsi="Arial" w:cs="Arial"/>
        </w:rPr>
        <w:t>电源切换装置切换时间小于</w:t>
      </w:r>
      <w:r>
        <w:rPr>
          <w:rFonts w:ascii="Arial" w:hAnsi="Arial" w:cs="Arial"/>
        </w:rPr>
        <w:t>20ms</w:t>
      </w:r>
      <w:r>
        <w:rPr>
          <w:rFonts w:hint="eastAsia" w:ascii="Arial" w:hAnsi="Arial" w:cs="Arial"/>
        </w:rPr>
        <w:t>。</w:t>
      </w:r>
    </w:p>
    <w:p w14:paraId="60E4A499">
      <w:pPr>
        <w:spacing w:line="360" w:lineRule="auto"/>
        <w:rPr>
          <w:kern w:val="2"/>
          <w:szCs w:val="24"/>
        </w:rPr>
      </w:pPr>
      <w:r>
        <w:rPr>
          <w:rFonts w:hint="eastAsia"/>
          <w:kern w:val="2"/>
          <w:szCs w:val="24"/>
        </w:rPr>
        <w:t>4.6.2  ，可用千兆电接口数量≥24，可用千兆光接口数量≥2；交换容量≥26Gbps，转发性能≥41.67Mpps。</w:t>
      </w:r>
    </w:p>
    <w:p w14:paraId="3E8B7772">
      <w:pPr>
        <w:spacing w:line="360" w:lineRule="auto"/>
        <w:rPr>
          <w:kern w:val="2"/>
          <w:szCs w:val="24"/>
        </w:rPr>
      </w:pPr>
      <w:r>
        <w:rPr>
          <w:rFonts w:hint="eastAsia"/>
          <w:kern w:val="2"/>
          <w:szCs w:val="24"/>
        </w:rPr>
        <w:t>4.6.3 投标人提供的配电箱、机柜采用</w:t>
      </w:r>
      <w:r>
        <w:rPr>
          <w:kern w:val="2"/>
          <w:szCs w:val="24"/>
        </w:rPr>
        <w:t>不锈钢</w:t>
      </w:r>
      <w:r>
        <w:rPr>
          <w:rFonts w:hint="eastAsia"/>
          <w:kern w:val="2"/>
          <w:szCs w:val="24"/>
        </w:rPr>
        <w:t>316L</w:t>
      </w:r>
      <w:r>
        <w:rPr>
          <w:kern w:val="2"/>
          <w:szCs w:val="24"/>
        </w:rPr>
        <w:t>，柜板厚度不小于2.0mm</w:t>
      </w:r>
      <w:r>
        <w:rPr>
          <w:rFonts w:hint="eastAsia"/>
          <w:kern w:val="2"/>
          <w:szCs w:val="24"/>
        </w:rPr>
        <w:t>，防护等级不低于</w:t>
      </w:r>
      <w:r>
        <w:rPr>
          <w:kern w:val="2"/>
          <w:szCs w:val="24"/>
        </w:rPr>
        <w:t>IP54</w:t>
      </w:r>
      <w:r>
        <w:rPr>
          <w:rFonts w:hint="eastAsia"/>
          <w:kern w:val="2"/>
          <w:szCs w:val="24"/>
        </w:rPr>
        <w:t>。</w:t>
      </w:r>
      <w:r>
        <w:rPr>
          <w:kern w:val="2"/>
          <w:szCs w:val="24"/>
        </w:rPr>
        <w:t>材料选择和工艺应使其内、外表面光滑整洁，没有焊接、铆钉或外侧出现的螺栓头。</w:t>
      </w:r>
      <w:r>
        <w:rPr>
          <w:rFonts w:hint="eastAsia"/>
          <w:kern w:val="2"/>
          <w:szCs w:val="24"/>
        </w:rPr>
        <w:t>机</w:t>
      </w:r>
      <w:r>
        <w:rPr>
          <w:kern w:val="2"/>
          <w:szCs w:val="24"/>
        </w:rPr>
        <w:t>柜应有通风装置，以保证运行时内部温度不超过设备允许的温度极限值</w:t>
      </w:r>
      <w:r>
        <w:rPr>
          <w:rFonts w:hint="eastAsia"/>
          <w:kern w:val="2"/>
          <w:szCs w:val="24"/>
        </w:rPr>
        <w:t>。</w:t>
      </w:r>
      <w:r>
        <w:rPr>
          <w:kern w:val="2"/>
          <w:szCs w:val="24"/>
        </w:rPr>
        <w:t>内部应提供有220VAC照明灯和检修插座，盘上和盘内设备应有标志牌。</w:t>
      </w:r>
      <w:r>
        <w:rPr>
          <w:rFonts w:hint="eastAsia"/>
          <w:kern w:val="2"/>
          <w:szCs w:val="24"/>
        </w:rPr>
        <w:t>为便于集控室整体布置美观，配电箱、机柜具体尺寸、颜色由招标人在设计联络会中确定。</w:t>
      </w:r>
    </w:p>
    <w:p w14:paraId="07721F8B">
      <w:pPr>
        <w:spacing w:line="360" w:lineRule="auto"/>
        <w:rPr>
          <w:kern w:val="2"/>
          <w:szCs w:val="24"/>
        </w:rPr>
      </w:pPr>
      <w:r>
        <w:rPr>
          <w:rFonts w:hint="eastAsia"/>
          <w:kern w:val="2"/>
          <w:szCs w:val="24"/>
        </w:rPr>
        <w:t>4.6.4 投标人应提供镀锌桥架、镀锌电缆保护管等辅材用于电缆敷设，并按要求对强、弱电线缆分开敷设。投标人敷设的线缆应确保线缆敷设整齐美观、标识清晰、接线规范可靠。</w:t>
      </w:r>
    </w:p>
    <w:p w14:paraId="4030C3C7">
      <w:pPr>
        <w:spacing w:line="360" w:lineRule="auto"/>
        <w:rPr>
          <w:kern w:val="2"/>
          <w:szCs w:val="24"/>
        </w:rPr>
      </w:pPr>
      <w:r>
        <w:rPr>
          <w:rFonts w:hint="eastAsia"/>
          <w:kern w:val="2"/>
          <w:szCs w:val="24"/>
        </w:rPr>
        <w:t>4.6.5 现场设备接地属投标人工作范围，投标人应按照要求接到招标人指定的接地点，确保现场设备的可靠接地。</w:t>
      </w:r>
    </w:p>
    <w:p w14:paraId="29D3908C">
      <w:pPr>
        <w:spacing w:line="360" w:lineRule="auto"/>
        <w:rPr>
          <w:kern w:val="2"/>
          <w:szCs w:val="24"/>
        </w:rPr>
      </w:pPr>
      <w:r>
        <w:rPr>
          <w:rFonts w:hint="eastAsia"/>
          <w:kern w:val="2"/>
          <w:szCs w:val="24"/>
        </w:rPr>
        <w:t>4.6.6 投标人按照要求提供LED大屏显示系统所需的电源线、网线（六类）、光纤（含熔接），同时负责提供接入LED大屏显示系统所需的视频线、信号线，并完成数据对接。</w:t>
      </w:r>
    </w:p>
    <w:p w14:paraId="345D09E0">
      <w:pPr>
        <w:spacing w:line="360" w:lineRule="auto"/>
        <w:rPr>
          <w:kern w:val="2"/>
          <w:szCs w:val="24"/>
        </w:rPr>
      </w:pPr>
      <w:r>
        <w:rPr>
          <w:rFonts w:hint="eastAsia"/>
          <w:kern w:val="2"/>
          <w:szCs w:val="24"/>
        </w:rPr>
        <w:t>4.6.7 设备安装、调试、测试所需的工具及材料均由投标人负责。</w:t>
      </w:r>
      <w:bookmarkEnd w:id="32"/>
    </w:p>
    <w:p w14:paraId="7050A6FF">
      <w:pPr>
        <w:widowControl/>
        <w:autoSpaceDE w:val="0"/>
        <w:autoSpaceDN w:val="0"/>
        <w:adjustRightInd/>
        <w:snapToGrid w:val="0"/>
        <w:spacing w:line="360" w:lineRule="auto"/>
        <w:jc w:val="both"/>
        <w:textAlignment w:val="bottom"/>
        <w:rPr>
          <w:kern w:val="2"/>
          <w:szCs w:val="24"/>
        </w:rPr>
      </w:pPr>
      <w:r>
        <w:rPr>
          <w:rFonts w:hint="eastAsia"/>
          <w:kern w:val="2"/>
          <w:szCs w:val="24"/>
        </w:rPr>
        <w:t>4.7 设备服务要求</w:t>
      </w:r>
    </w:p>
    <w:p w14:paraId="61236F8F">
      <w:pPr>
        <w:spacing w:line="360" w:lineRule="auto"/>
        <w:rPr>
          <w:kern w:val="2"/>
          <w:szCs w:val="24"/>
        </w:rPr>
      </w:pPr>
      <w:r>
        <w:rPr>
          <w:rFonts w:hint="eastAsia"/>
          <w:kern w:val="2"/>
          <w:szCs w:val="24"/>
        </w:rPr>
        <w:t>4.7.1 投标人需提供大屏设备、操作系统及相关软件的安装调试服务。</w:t>
      </w:r>
    </w:p>
    <w:p w14:paraId="277BA295">
      <w:pPr>
        <w:tabs>
          <w:tab w:val="left" w:pos="1134"/>
        </w:tabs>
        <w:snapToGrid w:val="0"/>
        <w:spacing w:line="360" w:lineRule="auto"/>
        <w:rPr>
          <w:kern w:val="2"/>
          <w:szCs w:val="24"/>
        </w:rPr>
      </w:pPr>
      <w:r>
        <w:rPr>
          <w:rFonts w:hint="eastAsia"/>
          <w:kern w:val="2"/>
          <w:szCs w:val="24"/>
        </w:rPr>
        <w:t>4.7.2 从大屏显示系统设备交付之日起三年内，提供屏显示系统设备产品7*24*4小时上门维保服务，包括损坏件的免费更换服务。</w:t>
      </w:r>
    </w:p>
    <w:p w14:paraId="4D18FB9B">
      <w:pPr>
        <w:tabs>
          <w:tab w:val="left" w:pos="1134"/>
        </w:tabs>
        <w:snapToGrid w:val="0"/>
        <w:spacing w:line="360" w:lineRule="auto"/>
        <w:rPr>
          <w:kern w:val="2"/>
          <w:szCs w:val="24"/>
        </w:rPr>
      </w:pPr>
      <w:r>
        <w:rPr>
          <w:rFonts w:hint="eastAsia"/>
          <w:kern w:val="2"/>
          <w:szCs w:val="24"/>
        </w:rPr>
        <w:t>4.7.2 提供三年之后的延保服务价格清单。</w:t>
      </w:r>
    </w:p>
    <w:p w14:paraId="52793C1B">
      <w:pPr>
        <w:tabs>
          <w:tab w:val="left" w:pos="1134"/>
        </w:tabs>
        <w:snapToGrid w:val="0"/>
        <w:spacing w:line="360" w:lineRule="auto"/>
        <w:rPr>
          <w:kern w:val="2"/>
          <w:szCs w:val="24"/>
        </w:rPr>
      </w:pPr>
      <w:r>
        <w:rPr>
          <w:rFonts w:hint="eastAsia"/>
          <w:kern w:val="2"/>
          <w:szCs w:val="24"/>
        </w:rPr>
        <w:t>4.7.3 免费培训相关技术和管理人员，并与技术维护人员建立联系，提供长期的技术支持。</w:t>
      </w:r>
    </w:p>
    <w:p w14:paraId="1003A6A3">
      <w:pPr>
        <w:tabs>
          <w:tab w:val="left" w:pos="1134"/>
        </w:tabs>
        <w:snapToGrid w:val="0"/>
        <w:spacing w:line="360" w:lineRule="auto"/>
        <w:rPr>
          <w:kern w:val="2"/>
          <w:szCs w:val="24"/>
        </w:rPr>
      </w:pPr>
      <w:r>
        <w:rPr>
          <w:rFonts w:hint="eastAsia"/>
          <w:kern w:val="2"/>
          <w:szCs w:val="24"/>
        </w:rPr>
        <w:t>4.7.4 整体集控室LED大屏显示系统显示画面设计由投标人负责实施完成。</w:t>
      </w:r>
    </w:p>
    <w:p w14:paraId="771C71FC">
      <w:pPr>
        <w:pStyle w:val="3"/>
        <w:spacing w:before="0" w:after="0" w:line="500" w:lineRule="exact"/>
        <w:rPr>
          <w:rFonts w:ascii="Arial" w:cs="Arial"/>
          <w:snapToGrid/>
          <w:sz w:val="24"/>
        </w:rPr>
      </w:pPr>
      <w:r>
        <w:rPr>
          <w:rFonts w:hint="eastAsia" w:ascii="Arial" w:cs="Arial"/>
          <w:snapToGrid/>
          <w:sz w:val="24"/>
        </w:rPr>
        <w:t>5 产品质量要求</w:t>
      </w:r>
    </w:p>
    <w:p w14:paraId="194DC849">
      <w:pPr>
        <w:tabs>
          <w:tab w:val="left" w:pos="1134"/>
        </w:tabs>
        <w:snapToGrid w:val="0"/>
        <w:spacing w:line="360" w:lineRule="auto"/>
        <w:rPr>
          <w:kern w:val="2"/>
          <w:szCs w:val="24"/>
        </w:rPr>
      </w:pPr>
      <w:r>
        <w:rPr>
          <w:rFonts w:hint="eastAsia"/>
          <w:kern w:val="2"/>
          <w:szCs w:val="24"/>
        </w:rPr>
        <w:t>5.1 LED显示屏制造商应具有ISO 14001环境管理体系、ISO 9001质量管理体系、ISO 45001职业健康安全管理体系、ISO 27001信息安全管理体系认证。</w:t>
      </w:r>
      <w:r>
        <w:rPr>
          <w:rFonts w:hint="eastAsia"/>
          <w:kern w:val="2"/>
          <w:szCs w:val="24"/>
        </w:rPr>
        <w:br w:type="textWrapping"/>
      </w:r>
      <w:r>
        <w:rPr>
          <w:rFonts w:hint="eastAsia"/>
          <w:kern w:val="2"/>
          <w:szCs w:val="24"/>
        </w:rPr>
        <w:t>5.2 室内全彩显示屏产品需提供：CCC认证证书，中国节能产品认证证书。</w:t>
      </w:r>
    </w:p>
    <w:p w14:paraId="5809562F">
      <w:pPr>
        <w:pStyle w:val="3"/>
        <w:spacing w:before="0" w:after="0" w:line="500" w:lineRule="exact"/>
        <w:rPr>
          <w:rFonts w:ascii="Arial" w:cs="Arial"/>
          <w:snapToGrid/>
          <w:sz w:val="24"/>
        </w:rPr>
      </w:pPr>
      <w:r>
        <w:rPr>
          <w:rFonts w:hint="eastAsia" w:ascii="Arial" w:cs="Arial"/>
          <w:snapToGrid/>
          <w:sz w:val="24"/>
        </w:rPr>
        <w:t xml:space="preserve">6 </w:t>
      </w:r>
      <w:r>
        <w:rPr>
          <w:rFonts w:ascii="Arial" w:cs="Arial"/>
          <w:snapToGrid/>
          <w:sz w:val="24"/>
        </w:rPr>
        <w:t>工程管理</w:t>
      </w:r>
    </w:p>
    <w:p w14:paraId="793C35B8">
      <w:pPr>
        <w:rPr>
          <w:kern w:val="2"/>
          <w:szCs w:val="24"/>
        </w:rPr>
      </w:pPr>
      <w:r>
        <w:rPr>
          <w:rFonts w:hint="eastAsia"/>
          <w:kern w:val="2"/>
          <w:szCs w:val="24"/>
        </w:rPr>
        <w:t>6</w:t>
      </w:r>
      <w:bookmarkStart w:id="33" w:name="_Toc70050360"/>
      <w:r>
        <w:rPr>
          <w:kern w:val="2"/>
          <w:szCs w:val="24"/>
        </w:rPr>
        <w:t>.1项目管理</w:t>
      </w:r>
      <w:bookmarkEnd w:id="33"/>
    </w:p>
    <w:p w14:paraId="15E5BC39">
      <w:pPr>
        <w:tabs>
          <w:tab w:val="left" w:pos="1134"/>
        </w:tabs>
        <w:snapToGrid w:val="0"/>
        <w:spacing w:line="360" w:lineRule="auto"/>
        <w:ind w:firstLine="480" w:firstLineChars="200"/>
        <w:rPr>
          <w:kern w:val="2"/>
          <w:szCs w:val="24"/>
        </w:rPr>
      </w:pPr>
      <w:r>
        <w:rPr>
          <w:kern w:val="2"/>
          <w:szCs w:val="24"/>
        </w:rPr>
        <w:t>合同签订后，</w:t>
      </w:r>
      <w:r>
        <w:rPr>
          <w:rFonts w:hint="eastAsia"/>
          <w:kern w:val="2"/>
          <w:szCs w:val="24"/>
        </w:rPr>
        <w:t>投标人</w:t>
      </w:r>
      <w:r>
        <w:rPr>
          <w:kern w:val="2"/>
          <w:szCs w:val="24"/>
        </w:rPr>
        <w:t>指定一项目经理，负责协调</w:t>
      </w:r>
      <w:r>
        <w:rPr>
          <w:rFonts w:hint="eastAsia"/>
          <w:kern w:val="2"/>
          <w:szCs w:val="24"/>
        </w:rPr>
        <w:t>投标人</w:t>
      </w:r>
      <w:r>
        <w:rPr>
          <w:kern w:val="2"/>
          <w:szCs w:val="24"/>
        </w:rPr>
        <w:t>在工程全过程的各项工作。如系统现场测量、设计、施工、工程进度、制造确认、编程、图纸文件、工厂和现场测试、编制文件、启动、投运和现场系统可利用率测试等工作。项目经理负责确保系统工程的各项性能指标达到</w:t>
      </w:r>
      <w:r>
        <w:rPr>
          <w:rFonts w:hint="eastAsia"/>
          <w:kern w:val="2"/>
          <w:szCs w:val="24"/>
        </w:rPr>
        <w:t>招标人</w:t>
      </w:r>
      <w:r>
        <w:rPr>
          <w:kern w:val="2"/>
          <w:szCs w:val="24"/>
        </w:rPr>
        <w:t>的所有要求，提供各项资料文件，按时执行合同。</w:t>
      </w:r>
    </w:p>
    <w:p w14:paraId="29728B3C">
      <w:pPr>
        <w:widowControl/>
        <w:autoSpaceDE w:val="0"/>
        <w:autoSpaceDN w:val="0"/>
        <w:snapToGrid w:val="0"/>
        <w:spacing w:line="360" w:lineRule="auto"/>
        <w:textAlignment w:val="bottom"/>
      </w:pPr>
      <w:bookmarkStart w:id="34" w:name="_Toc70050361"/>
      <w:r>
        <w:rPr>
          <w:rFonts w:hint="eastAsia"/>
        </w:rPr>
        <w:t>6.</w:t>
      </w:r>
      <w:r>
        <w:t>2工程现场测量设计</w:t>
      </w:r>
      <w:bookmarkEnd w:id="34"/>
    </w:p>
    <w:p w14:paraId="2A543CF0">
      <w:pPr>
        <w:widowControl/>
        <w:autoSpaceDE w:val="0"/>
        <w:autoSpaceDN w:val="0"/>
        <w:snapToGrid w:val="0"/>
        <w:spacing w:line="360" w:lineRule="auto"/>
        <w:textAlignment w:val="bottom"/>
      </w:pPr>
      <w:r>
        <w:rPr>
          <w:rFonts w:hint="eastAsia"/>
        </w:rPr>
        <w:t>6.</w:t>
      </w:r>
      <w:r>
        <w:t>2.1在设备制造和系统设计前，</w:t>
      </w:r>
      <w:r>
        <w:rPr>
          <w:rFonts w:hint="eastAsia"/>
        </w:rPr>
        <w:t>投标人</w:t>
      </w:r>
      <w:r>
        <w:t>需进行现场实际测量，将设备布置图、系统说明书提供给</w:t>
      </w:r>
      <w:r>
        <w:rPr>
          <w:rFonts w:hint="eastAsia"/>
        </w:rPr>
        <w:t>招标人</w:t>
      </w:r>
      <w:r>
        <w:t>审核批准，以保证所供系统和设备能符合合同文件的各项规定。</w:t>
      </w:r>
    </w:p>
    <w:p w14:paraId="7CB2893E">
      <w:pPr>
        <w:widowControl/>
        <w:autoSpaceDE w:val="0"/>
        <w:autoSpaceDN w:val="0"/>
        <w:snapToGrid w:val="0"/>
        <w:spacing w:line="360" w:lineRule="auto"/>
        <w:textAlignment w:val="bottom"/>
      </w:pPr>
      <w:r>
        <w:rPr>
          <w:rFonts w:hint="eastAsia"/>
        </w:rPr>
        <w:t>6.</w:t>
      </w:r>
      <w:r>
        <w:t>2.2</w:t>
      </w:r>
      <w:r>
        <w:rPr>
          <w:rFonts w:hint="eastAsia"/>
        </w:rPr>
        <w:t>投标人</w:t>
      </w:r>
      <w:r>
        <w:t>还向</w:t>
      </w:r>
      <w:r>
        <w:rPr>
          <w:rFonts w:hint="eastAsia"/>
        </w:rPr>
        <w:t>招标人</w:t>
      </w:r>
      <w:r>
        <w:t>提交所有最终接口资料和图纸，以便</w:t>
      </w:r>
      <w:r>
        <w:rPr>
          <w:rFonts w:hint="eastAsia"/>
        </w:rPr>
        <w:t>招标人</w:t>
      </w:r>
      <w:r>
        <w:t>能顺利开展其工作。</w:t>
      </w:r>
    </w:p>
    <w:p w14:paraId="6848095B">
      <w:pPr>
        <w:widowControl/>
        <w:autoSpaceDE w:val="0"/>
        <w:autoSpaceDN w:val="0"/>
        <w:snapToGrid w:val="0"/>
        <w:spacing w:line="360" w:lineRule="auto"/>
        <w:textAlignment w:val="bottom"/>
      </w:pPr>
      <w:r>
        <w:rPr>
          <w:rFonts w:hint="eastAsia"/>
        </w:rPr>
        <w:t>6.</w:t>
      </w:r>
      <w:r>
        <w:t>2.3</w:t>
      </w:r>
      <w:r>
        <w:rPr>
          <w:rFonts w:hint="eastAsia"/>
        </w:rPr>
        <w:t>投标人</w:t>
      </w:r>
      <w:r>
        <w:t>提交的设备布置图、接线图和其它详图，均随设计进程而更新，以便及时反映当前的设计进展。修改版本以数字形式在图标的版本栏内表示出来。</w:t>
      </w:r>
    </w:p>
    <w:p w14:paraId="2E9BCF63">
      <w:pPr>
        <w:widowControl/>
        <w:autoSpaceDE w:val="0"/>
        <w:autoSpaceDN w:val="0"/>
        <w:snapToGrid w:val="0"/>
        <w:spacing w:line="360" w:lineRule="auto"/>
        <w:textAlignment w:val="bottom"/>
      </w:pPr>
      <w:bookmarkStart w:id="35" w:name="_Toc70050362"/>
      <w:r>
        <w:rPr>
          <w:rFonts w:hint="eastAsia"/>
        </w:rPr>
        <w:t>6.</w:t>
      </w:r>
      <w:r>
        <w:t>3现场</w:t>
      </w:r>
      <w:bookmarkEnd w:id="35"/>
      <w:r>
        <w:t>工作</w:t>
      </w:r>
    </w:p>
    <w:p w14:paraId="2A6FCEF3">
      <w:pPr>
        <w:widowControl/>
        <w:autoSpaceDE w:val="0"/>
        <w:autoSpaceDN w:val="0"/>
        <w:snapToGrid w:val="0"/>
        <w:spacing w:line="360" w:lineRule="auto"/>
        <w:textAlignment w:val="bottom"/>
      </w:pPr>
      <w:r>
        <w:rPr>
          <w:rFonts w:hint="eastAsia"/>
        </w:rPr>
        <w:t>6.</w:t>
      </w:r>
      <w:r>
        <w:t>3.1按照合同规定，</w:t>
      </w:r>
      <w:r>
        <w:rPr>
          <w:rFonts w:hint="eastAsia"/>
        </w:rPr>
        <w:t>投标人</w:t>
      </w:r>
      <w:r>
        <w:t>负责大屏幕系统的测量、设计、施工、调试等所有与之相关的工作，直到系统</w:t>
      </w:r>
      <w:r>
        <w:rPr>
          <w:rFonts w:hint="eastAsia"/>
        </w:rPr>
        <w:t>满足招标人要求</w:t>
      </w:r>
      <w:r>
        <w:t>。</w:t>
      </w:r>
    </w:p>
    <w:p w14:paraId="1E630CC8">
      <w:pPr>
        <w:widowControl/>
        <w:autoSpaceDE w:val="0"/>
        <w:autoSpaceDN w:val="0"/>
        <w:snapToGrid w:val="0"/>
        <w:spacing w:line="360" w:lineRule="auto"/>
        <w:textAlignment w:val="bottom"/>
      </w:pPr>
      <w:r>
        <w:rPr>
          <w:rFonts w:hint="eastAsia"/>
        </w:rPr>
        <w:t>6.</w:t>
      </w:r>
      <w:r>
        <w:t>3.2</w:t>
      </w:r>
      <w:r>
        <w:rPr>
          <w:rFonts w:hint="eastAsia"/>
        </w:rPr>
        <w:t>投标人</w:t>
      </w:r>
      <w:r>
        <w:t>派出的专家，还负责对</w:t>
      </w:r>
      <w:r>
        <w:rPr>
          <w:rFonts w:hint="eastAsia"/>
        </w:rPr>
        <w:t>招标人</w:t>
      </w:r>
      <w:r>
        <w:t>的运行人员进行培训，教会他们如何区分，如何启动、操作及维护设备和系统。</w:t>
      </w:r>
    </w:p>
    <w:p w14:paraId="58EE1997">
      <w:pPr>
        <w:widowControl/>
        <w:autoSpaceDE w:val="0"/>
        <w:autoSpaceDN w:val="0"/>
        <w:snapToGrid w:val="0"/>
        <w:spacing w:line="360" w:lineRule="auto"/>
        <w:textAlignment w:val="bottom"/>
      </w:pPr>
      <w:r>
        <w:rPr>
          <w:rFonts w:hint="eastAsia"/>
        </w:rPr>
        <w:t>6.</w:t>
      </w:r>
      <w:r>
        <w:t>3.3</w:t>
      </w:r>
      <w:r>
        <w:rPr>
          <w:rFonts w:hint="eastAsia"/>
        </w:rPr>
        <w:t>投标人</w:t>
      </w:r>
      <w:r>
        <w:t>负责由其供应的设备、安装和系统进行的安装检查、软件调试、维护和启动，以及验收、竣工图纸交付等工作。</w:t>
      </w:r>
    </w:p>
    <w:p w14:paraId="415893E4">
      <w:pPr>
        <w:widowControl/>
        <w:autoSpaceDE w:val="0"/>
        <w:autoSpaceDN w:val="0"/>
        <w:snapToGrid w:val="0"/>
        <w:spacing w:line="360" w:lineRule="auto"/>
        <w:textAlignment w:val="bottom"/>
      </w:pPr>
      <w:r>
        <w:rPr>
          <w:rFonts w:hint="eastAsia"/>
        </w:rPr>
        <w:t>6.</w:t>
      </w:r>
      <w:r>
        <w:t>3.4</w:t>
      </w:r>
      <w:r>
        <w:rPr>
          <w:rFonts w:hint="eastAsia"/>
        </w:rPr>
        <w:t>投标人</w:t>
      </w:r>
      <w:r>
        <w:t>支付所需交通、生活和其它各项费用</w:t>
      </w:r>
      <w:r>
        <w:rPr>
          <w:rFonts w:hint="eastAsia"/>
        </w:rPr>
        <w:t>由投标人自行负责</w:t>
      </w:r>
      <w:r>
        <w:t>。</w:t>
      </w:r>
    </w:p>
    <w:p w14:paraId="7E2E6A17">
      <w:pPr>
        <w:widowControl/>
        <w:autoSpaceDE w:val="0"/>
        <w:autoSpaceDN w:val="0"/>
        <w:snapToGrid w:val="0"/>
        <w:spacing w:line="360" w:lineRule="auto"/>
        <w:textAlignment w:val="bottom"/>
      </w:pPr>
      <w:r>
        <w:rPr>
          <w:rFonts w:hint="eastAsia"/>
        </w:rPr>
        <w:t>6.</w:t>
      </w:r>
      <w:r>
        <w:t>3.5设备到现场后，</w:t>
      </w:r>
      <w:r>
        <w:rPr>
          <w:rFonts w:hint="eastAsia"/>
        </w:rPr>
        <w:t>投标人</w:t>
      </w:r>
      <w:r>
        <w:t>配合</w:t>
      </w:r>
      <w:r>
        <w:rPr>
          <w:rFonts w:hint="eastAsia"/>
        </w:rPr>
        <w:t>招标人</w:t>
      </w:r>
      <w:r>
        <w:t>开箱验收，确认装箱单、设备的完好后，领用施工。</w:t>
      </w:r>
    </w:p>
    <w:p w14:paraId="55A8F382">
      <w:pPr>
        <w:widowControl/>
        <w:autoSpaceDE w:val="0"/>
        <w:autoSpaceDN w:val="0"/>
        <w:snapToGrid w:val="0"/>
        <w:spacing w:line="360" w:lineRule="auto"/>
        <w:textAlignment w:val="bottom"/>
      </w:pPr>
      <w:r>
        <w:rPr>
          <w:rFonts w:hint="eastAsia"/>
        </w:rPr>
        <w:t>6.</w:t>
      </w:r>
      <w:r>
        <w:t>3.6</w:t>
      </w:r>
      <w:r>
        <w:rPr>
          <w:rFonts w:hint="eastAsia"/>
        </w:rPr>
        <w:t>投标人</w:t>
      </w:r>
      <w:r>
        <w:t>每周应向</w:t>
      </w:r>
      <w:r>
        <w:rPr>
          <w:rFonts w:hint="eastAsia"/>
        </w:rPr>
        <w:t>招标人</w:t>
      </w:r>
      <w:r>
        <w:t>提交工作报告和施工、调试工作进度表，在服务期终止时向</w:t>
      </w:r>
      <w:r>
        <w:rPr>
          <w:rFonts w:hint="eastAsia"/>
        </w:rPr>
        <w:t>招标人</w:t>
      </w:r>
      <w:r>
        <w:t>提交调试工作报告。</w:t>
      </w:r>
    </w:p>
    <w:p w14:paraId="4D92A582">
      <w:pPr>
        <w:widowControl/>
        <w:autoSpaceDE w:val="0"/>
        <w:autoSpaceDN w:val="0"/>
        <w:snapToGrid w:val="0"/>
        <w:spacing w:line="360" w:lineRule="auto"/>
        <w:textAlignment w:val="bottom"/>
      </w:pPr>
      <w:r>
        <w:rPr>
          <w:rFonts w:hint="eastAsia"/>
        </w:rPr>
        <w:t>6.</w:t>
      </w:r>
      <w:r>
        <w:t>3.7如</w:t>
      </w:r>
      <w:r>
        <w:rPr>
          <w:rFonts w:hint="eastAsia"/>
        </w:rPr>
        <w:t>投标人</w:t>
      </w:r>
      <w:r>
        <w:t>接到</w:t>
      </w:r>
      <w:r>
        <w:rPr>
          <w:rFonts w:hint="eastAsia"/>
        </w:rPr>
        <w:t>招标人</w:t>
      </w:r>
      <w:r>
        <w:t>要求其进行现场维护的通知，</w:t>
      </w:r>
      <w:r>
        <w:rPr>
          <w:rFonts w:hint="eastAsia"/>
        </w:rPr>
        <w:t>投标人</w:t>
      </w:r>
      <w:r>
        <w:t>服务人员应在通知收到后的24小时内到达现场。</w:t>
      </w:r>
    </w:p>
    <w:p w14:paraId="0DE4398E">
      <w:pPr>
        <w:pStyle w:val="2"/>
        <w:spacing w:before="120" w:beforeLines="50" w:after="120" w:afterLines="50" w:line="360" w:lineRule="auto"/>
        <w:jc w:val="left"/>
        <w:rPr>
          <w:rStyle w:val="48"/>
          <w:rFonts w:hint="eastAsia"/>
          <w:color w:val="auto"/>
          <w:szCs w:val="28"/>
        </w:rPr>
      </w:pPr>
      <w:r>
        <w:rPr>
          <w:rFonts w:ascii="Arial" w:hAnsi="Arial" w:cs="Arial"/>
        </w:rPr>
        <w:br w:type="page"/>
      </w:r>
      <w:bookmarkStart w:id="36" w:name="_Toc148499939"/>
      <w:bookmarkStart w:id="37" w:name="_Toc4627"/>
      <w:r>
        <w:rPr>
          <w:rStyle w:val="48"/>
          <w:color w:val="auto"/>
          <w:sz w:val="30"/>
          <w:szCs w:val="30"/>
          <w:u w:val="none"/>
        </w:rPr>
        <w:t xml:space="preserve">附件2  </w:t>
      </w:r>
      <w:bookmarkEnd w:id="36"/>
      <w:r>
        <w:rPr>
          <w:rStyle w:val="48"/>
          <w:color w:val="auto"/>
          <w:sz w:val="30"/>
          <w:szCs w:val="30"/>
          <w:u w:val="none"/>
        </w:rPr>
        <w:t>供货范围</w:t>
      </w:r>
      <w:bookmarkEnd w:id="37"/>
    </w:p>
    <w:p w14:paraId="0780C173">
      <w:pPr>
        <w:pStyle w:val="3"/>
        <w:spacing w:before="0" w:after="0" w:line="500" w:lineRule="exact"/>
        <w:rPr>
          <w:rFonts w:ascii="Times New Roman" w:hAnsi="Times New Roman"/>
          <w:sz w:val="24"/>
          <w:szCs w:val="24"/>
        </w:rPr>
      </w:pPr>
      <w:bookmarkStart w:id="38" w:name="_Toc492130993"/>
      <w:r>
        <w:rPr>
          <w:rFonts w:ascii="Times New Roman" w:hAnsi="Times New Roman"/>
          <w:sz w:val="24"/>
          <w:szCs w:val="24"/>
        </w:rPr>
        <w:t>1</w:t>
      </w:r>
      <w:r>
        <w:rPr>
          <w:rFonts w:hint="eastAsia" w:ascii="Times New Roman" w:hAnsi="Times New Roman"/>
          <w:sz w:val="24"/>
          <w:szCs w:val="24"/>
        </w:rPr>
        <w:t>一般要求</w:t>
      </w:r>
      <w:bookmarkEnd w:id="38"/>
    </w:p>
    <w:p w14:paraId="718A097A">
      <w:pPr>
        <w:widowControl/>
        <w:autoSpaceDE w:val="0"/>
        <w:autoSpaceDN w:val="0"/>
        <w:snapToGrid w:val="0"/>
        <w:spacing w:line="360" w:lineRule="auto"/>
        <w:textAlignment w:val="bottom"/>
      </w:pPr>
      <w:bookmarkStart w:id="39" w:name="_Toc470861328"/>
      <w:r>
        <w:rPr>
          <w:rFonts w:hint="eastAsia"/>
        </w:rPr>
        <w:t>1.1 本章节规定了合同设备的供货范围，投标人保证提供的设备为全新的、先进的、成熟的、完整的和安全可靠的，且设备的技术经济性能符合本技术规范书的要求。</w:t>
      </w:r>
      <w:bookmarkEnd w:id="39"/>
    </w:p>
    <w:p w14:paraId="579A9012">
      <w:pPr>
        <w:widowControl/>
        <w:autoSpaceDE w:val="0"/>
        <w:autoSpaceDN w:val="0"/>
        <w:snapToGrid w:val="0"/>
        <w:spacing w:line="360" w:lineRule="auto"/>
        <w:textAlignment w:val="bottom"/>
      </w:pPr>
      <w:bookmarkStart w:id="40" w:name="_Toc470861329"/>
      <w:r>
        <w:rPr>
          <w:rFonts w:hint="eastAsia"/>
        </w:rPr>
        <w:t>1.2 投标人所提供设备应提供三年原厂服务承诺函，包括损坏件的免费更换服务。</w:t>
      </w:r>
      <w:bookmarkEnd w:id="40"/>
    </w:p>
    <w:p w14:paraId="5F95DB07">
      <w:pPr>
        <w:widowControl/>
        <w:autoSpaceDE w:val="0"/>
        <w:autoSpaceDN w:val="0"/>
        <w:snapToGrid w:val="0"/>
        <w:spacing w:line="360" w:lineRule="auto"/>
        <w:textAlignment w:val="bottom"/>
      </w:pPr>
      <w:bookmarkStart w:id="41" w:name="_Toc470861330"/>
      <w:r>
        <w:rPr>
          <w:rFonts w:hint="eastAsia"/>
        </w:rPr>
        <w:t>1.3 投标人提供详细供货清单，清单中依此说明型号、数量、产地、生产厂家等内容。对于属于整套设备运行和施工所必需的部件，即使本合同附件未列出和/或数目不足，投标人仍须在执行的同时补足。</w:t>
      </w:r>
      <w:bookmarkEnd w:id="41"/>
    </w:p>
    <w:p w14:paraId="1300893E">
      <w:pPr>
        <w:widowControl/>
        <w:autoSpaceDE w:val="0"/>
        <w:autoSpaceDN w:val="0"/>
        <w:snapToGrid w:val="0"/>
        <w:spacing w:line="360" w:lineRule="auto"/>
        <w:textAlignment w:val="bottom"/>
      </w:pPr>
      <w:bookmarkStart w:id="42" w:name="_Toc470861331"/>
      <w:r>
        <w:rPr>
          <w:rFonts w:hint="eastAsia"/>
        </w:rPr>
        <w:t>1.4 所有本工程安装、调试、投入正常运行所必须的各类附件及材料均包含在总价中。除有特别注明外，所列数量均为本次要用设备数量，在施工过程中招标人根据实际情况对设备数量进行增减。</w:t>
      </w:r>
      <w:bookmarkEnd w:id="42"/>
    </w:p>
    <w:p w14:paraId="169DC001">
      <w:pPr>
        <w:widowControl/>
        <w:autoSpaceDE w:val="0"/>
        <w:autoSpaceDN w:val="0"/>
        <w:snapToGrid w:val="0"/>
        <w:spacing w:line="360" w:lineRule="auto"/>
        <w:textAlignment w:val="bottom"/>
      </w:pPr>
      <w:bookmarkStart w:id="43" w:name="_Toc470861332"/>
      <w:r>
        <w:rPr>
          <w:rFonts w:hint="eastAsia"/>
        </w:rPr>
        <w:t>1.5 提供运行所需备品备件，并在合同中给出具体清单。</w:t>
      </w:r>
      <w:bookmarkEnd w:id="43"/>
    </w:p>
    <w:p w14:paraId="3CDBADD8">
      <w:pPr>
        <w:widowControl/>
        <w:autoSpaceDE w:val="0"/>
        <w:autoSpaceDN w:val="0"/>
        <w:snapToGrid w:val="0"/>
        <w:spacing w:line="360" w:lineRule="auto"/>
        <w:textAlignment w:val="bottom"/>
      </w:pPr>
      <w:bookmarkStart w:id="44" w:name="_Toc470861333"/>
      <w:r>
        <w:rPr>
          <w:rFonts w:hint="eastAsia"/>
        </w:rPr>
        <w:t>1.6 投标人应列出各设备详细清单，并注明设备产地。</w:t>
      </w:r>
      <w:bookmarkEnd w:id="44"/>
    </w:p>
    <w:p w14:paraId="52A91C3F">
      <w:pPr>
        <w:widowControl/>
        <w:autoSpaceDE w:val="0"/>
        <w:autoSpaceDN w:val="0"/>
        <w:snapToGrid w:val="0"/>
        <w:spacing w:line="360" w:lineRule="auto"/>
        <w:textAlignment w:val="bottom"/>
      </w:pPr>
      <w:bookmarkStart w:id="45" w:name="_Toc470861335"/>
      <w:r>
        <w:rPr>
          <w:rFonts w:hint="eastAsia"/>
        </w:rPr>
        <w:t>1.7 设备不仅限于下表所列，投标人应根据技术要求确定实际设备。</w:t>
      </w:r>
      <w:bookmarkEnd w:id="45"/>
    </w:p>
    <w:p w14:paraId="3CAD827D">
      <w:pPr>
        <w:widowControl/>
        <w:autoSpaceDE w:val="0"/>
        <w:autoSpaceDN w:val="0"/>
        <w:snapToGrid w:val="0"/>
        <w:spacing w:line="360" w:lineRule="auto"/>
        <w:textAlignment w:val="bottom"/>
      </w:pPr>
      <w:bookmarkStart w:id="46" w:name="_Toc470861336"/>
      <w:r>
        <w:rPr>
          <w:rFonts w:hint="eastAsia"/>
        </w:rPr>
        <w:t>1.8 投标人负责所供设备的安装调试工作。</w:t>
      </w:r>
      <w:bookmarkEnd w:id="46"/>
    </w:p>
    <w:p w14:paraId="6773DAF0">
      <w:pPr>
        <w:pStyle w:val="3"/>
        <w:spacing w:before="0" w:after="0" w:line="500" w:lineRule="exact"/>
        <w:rPr>
          <w:rFonts w:ascii="Times New Roman" w:hAnsi="Times New Roman"/>
          <w:sz w:val="24"/>
          <w:szCs w:val="24"/>
        </w:rPr>
      </w:pPr>
      <w:bookmarkStart w:id="47" w:name="_Toc271033442"/>
      <w:bookmarkStart w:id="48" w:name="_Toc271212520"/>
      <w:r>
        <w:rPr>
          <w:rFonts w:ascii="Times New Roman" w:hAnsi="Times New Roman"/>
          <w:sz w:val="24"/>
          <w:szCs w:val="24"/>
        </w:rPr>
        <w:t>2供货</w:t>
      </w:r>
      <w:bookmarkEnd w:id="47"/>
      <w:bookmarkEnd w:id="48"/>
      <w:r>
        <w:rPr>
          <w:rFonts w:ascii="Times New Roman" w:hAnsi="Times New Roman"/>
          <w:sz w:val="24"/>
          <w:szCs w:val="24"/>
        </w:rPr>
        <w:t>范围</w:t>
      </w:r>
    </w:p>
    <w:p w14:paraId="62A307BF">
      <w:pPr>
        <w:widowControl/>
        <w:autoSpaceDE w:val="0"/>
        <w:autoSpaceDN w:val="0"/>
        <w:snapToGrid w:val="0"/>
        <w:spacing w:line="360" w:lineRule="auto"/>
        <w:ind w:firstLine="480" w:firstLineChars="200"/>
        <w:textAlignment w:val="bottom"/>
      </w:pPr>
      <w:r>
        <w:rPr>
          <w:rFonts w:hint="eastAsia"/>
        </w:rPr>
        <w:t>投标人的基本供货范围是功能完整的LED显示系统设备与材料，包含LED显示系统硬件、软件设备以及安装过程中所必须的桥架、电缆保护管、线缆等安装辅件。投标人应确保供货范围完整，以能满足用使用要求为原则，在技术规范中涉及的供货要求也作为本供货范围的补充，若在安装、调试、运行中发现缺项（属投标人供货范围）由投标人补充，并不增加任何费用。</w:t>
      </w:r>
    </w:p>
    <w:p w14:paraId="236D0D12">
      <w:pPr>
        <w:widowControl/>
        <w:autoSpaceDE w:val="0"/>
        <w:autoSpaceDN w:val="0"/>
        <w:snapToGrid w:val="0"/>
        <w:spacing w:line="360" w:lineRule="auto"/>
        <w:textAlignment w:val="bottom"/>
      </w:pPr>
      <w:r>
        <w:rPr>
          <w:rFonts w:hint="eastAsia"/>
        </w:rPr>
        <w:t>2.1 供货清单（具体由投标人细化）</w:t>
      </w:r>
    </w:p>
    <w:tbl>
      <w:tblPr>
        <w:tblStyle w:val="42"/>
        <w:tblW w:w="8789" w:type="dxa"/>
        <w:tblInd w:w="108" w:type="dxa"/>
        <w:tblLayout w:type="autofit"/>
        <w:tblCellMar>
          <w:top w:w="0" w:type="dxa"/>
          <w:left w:w="108" w:type="dxa"/>
          <w:bottom w:w="0" w:type="dxa"/>
          <w:right w:w="108" w:type="dxa"/>
        </w:tblCellMar>
      </w:tblPr>
      <w:tblGrid>
        <w:gridCol w:w="739"/>
        <w:gridCol w:w="1611"/>
        <w:gridCol w:w="1194"/>
        <w:gridCol w:w="753"/>
        <w:gridCol w:w="1656"/>
        <w:gridCol w:w="1135"/>
        <w:gridCol w:w="1701"/>
      </w:tblGrid>
      <w:tr w14:paraId="6D73993F">
        <w:tblPrEx>
          <w:tblCellMar>
            <w:top w:w="0" w:type="dxa"/>
            <w:left w:w="108" w:type="dxa"/>
            <w:bottom w:w="0" w:type="dxa"/>
            <w:right w:w="108" w:type="dxa"/>
          </w:tblCellMar>
        </w:tblPrEx>
        <w:trPr>
          <w:trHeight w:val="363" w:hRule="atLeast"/>
          <w:tblHeader/>
        </w:trPr>
        <w:tc>
          <w:tcPr>
            <w:tcW w:w="739" w:type="dxa"/>
            <w:tcBorders>
              <w:top w:val="single" w:color="000000" w:sz="4" w:space="0"/>
              <w:left w:val="single" w:color="000000" w:sz="4" w:space="0"/>
              <w:bottom w:val="single" w:color="000000" w:sz="4" w:space="0"/>
              <w:right w:val="single" w:color="000000" w:sz="4" w:space="0"/>
            </w:tcBorders>
            <w:vAlign w:val="center"/>
          </w:tcPr>
          <w:p w14:paraId="299B277C">
            <w:pPr>
              <w:widowControl/>
              <w:adjustRightInd/>
              <w:spacing w:line="240" w:lineRule="auto"/>
              <w:jc w:val="center"/>
              <w:textAlignment w:val="auto"/>
              <w:rPr>
                <w:rFonts w:hint="eastAsia" w:ascii="宋体" w:hAnsi="宋体" w:cs="宋体"/>
                <w:b/>
                <w:bCs/>
                <w:color w:val="000000"/>
                <w:szCs w:val="24"/>
              </w:rPr>
            </w:pPr>
            <w:r>
              <w:rPr>
                <w:rFonts w:hint="eastAsia" w:ascii="宋体" w:hAnsi="宋体" w:cs="宋体"/>
                <w:b/>
                <w:bCs/>
                <w:color w:val="000000"/>
                <w:szCs w:val="24"/>
              </w:rPr>
              <w:t>序号</w:t>
            </w:r>
          </w:p>
        </w:tc>
        <w:tc>
          <w:tcPr>
            <w:tcW w:w="1611" w:type="dxa"/>
            <w:tcBorders>
              <w:top w:val="single" w:color="000000" w:sz="4" w:space="0"/>
              <w:left w:val="single" w:color="000000" w:sz="4" w:space="0"/>
              <w:bottom w:val="single" w:color="000000" w:sz="4" w:space="0"/>
              <w:right w:val="single" w:color="000000" w:sz="4" w:space="0"/>
            </w:tcBorders>
            <w:vAlign w:val="center"/>
          </w:tcPr>
          <w:p w14:paraId="40467F83">
            <w:pPr>
              <w:widowControl/>
              <w:adjustRightInd/>
              <w:spacing w:line="240" w:lineRule="auto"/>
              <w:jc w:val="center"/>
              <w:textAlignment w:val="auto"/>
              <w:rPr>
                <w:rFonts w:hint="eastAsia" w:ascii="宋体" w:hAnsi="宋体" w:cs="宋体"/>
                <w:b/>
                <w:bCs/>
                <w:color w:val="000000"/>
                <w:szCs w:val="24"/>
              </w:rPr>
            </w:pPr>
            <w:r>
              <w:rPr>
                <w:rFonts w:hint="eastAsia" w:ascii="宋体" w:hAnsi="宋体" w:cs="宋体"/>
                <w:b/>
                <w:bCs/>
                <w:color w:val="000000"/>
                <w:szCs w:val="24"/>
              </w:rPr>
              <w:t>名称</w:t>
            </w:r>
          </w:p>
        </w:tc>
        <w:tc>
          <w:tcPr>
            <w:tcW w:w="1194" w:type="dxa"/>
            <w:tcBorders>
              <w:top w:val="single" w:color="000000" w:sz="4" w:space="0"/>
              <w:left w:val="single" w:color="000000" w:sz="4" w:space="0"/>
              <w:bottom w:val="single" w:color="000000" w:sz="4" w:space="0"/>
              <w:right w:val="single" w:color="000000" w:sz="4" w:space="0"/>
            </w:tcBorders>
            <w:vAlign w:val="center"/>
          </w:tcPr>
          <w:p w14:paraId="6B9698A8">
            <w:pPr>
              <w:widowControl/>
              <w:adjustRightInd/>
              <w:spacing w:line="240" w:lineRule="auto"/>
              <w:jc w:val="center"/>
              <w:textAlignment w:val="auto"/>
              <w:rPr>
                <w:rFonts w:hint="eastAsia" w:ascii="宋体" w:hAnsi="宋体" w:cs="宋体"/>
                <w:b/>
                <w:bCs/>
                <w:color w:val="000000"/>
                <w:szCs w:val="24"/>
              </w:rPr>
            </w:pPr>
            <w:r>
              <w:rPr>
                <w:rFonts w:hint="eastAsia" w:ascii="宋体" w:hAnsi="宋体" w:cs="宋体"/>
                <w:b/>
                <w:bCs/>
                <w:color w:val="000000"/>
                <w:szCs w:val="24"/>
              </w:rPr>
              <w:t>数量</w:t>
            </w:r>
          </w:p>
        </w:tc>
        <w:tc>
          <w:tcPr>
            <w:tcW w:w="753" w:type="dxa"/>
            <w:tcBorders>
              <w:top w:val="single" w:color="000000" w:sz="4" w:space="0"/>
              <w:left w:val="single" w:color="000000" w:sz="4" w:space="0"/>
              <w:bottom w:val="single" w:color="000000" w:sz="4" w:space="0"/>
              <w:right w:val="single" w:color="000000" w:sz="4" w:space="0"/>
            </w:tcBorders>
            <w:vAlign w:val="center"/>
          </w:tcPr>
          <w:p w14:paraId="0B6B5D98">
            <w:pPr>
              <w:widowControl/>
              <w:adjustRightInd/>
              <w:spacing w:line="240" w:lineRule="auto"/>
              <w:jc w:val="center"/>
              <w:textAlignment w:val="auto"/>
              <w:rPr>
                <w:rFonts w:hint="eastAsia" w:ascii="宋体" w:hAnsi="宋体" w:cs="宋体"/>
                <w:b/>
                <w:bCs/>
                <w:color w:val="000000"/>
                <w:szCs w:val="24"/>
              </w:rPr>
            </w:pPr>
            <w:r>
              <w:rPr>
                <w:rFonts w:hint="eastAsia" w:ascii="宋体" w:hAnsi="宋体" w:cs="宋体"/>
                <w:b/>
                <w:bCs/>
                <w:color w:val="000000"/>
                <w:szCs w:val="24"/>
              </w:rPr>
              <w:t>单位</w:t>
            </w:r>
          </w:p>
        </w:tc>
        <w:tc>
          <w:tcPr>
            <w:tcW w:w="1656" w:type="dxa"/>
            <w:tcBorders>
              <w:top w:val="single" w:color="000000" w:sz="4" w:space="0"/>
              <w:left w:val="single" w:color="000000" w:sz="4" w:space="0"/>
              <w:bottom w:val="single" w:color="000000" w:sz="4" w:space="0"/>
              <w:right w:val="single" w:color="000000" w:sz="4" w:space="0"/>
            </w:tcBorders>
            <w:vAlign w:val="center"/>
          </w:tcPr>
          <w:p w14:paraId="30F24DBC">
            <w:pPr>
              <w:widowControl/>
              <w:adjustRightInd/>
              <w:spacing w:line="240" w:lineRule="auto"/>
              <w:jc w:val="center"/>
              <w:textAlignment w:val="auto"/>
              <w:rPr>
                <w:rFonts w:hint="eastAsia" w:ascii="宋体" w:hAnsi="宋体" w:cs="宋体"/>
                <w:b/>
                <w:bCs/>
                <w:color w:val="000000"/>
                <w:szCs w:val="24"/>
              </w:rPr>
            </w:pPr>
            <w:r>
              <w:rPr>
                <w:rFonts w:hint="eastAsia" w:ascii="宋体" w:hAnsi="宋体" w:cs="宋体"/>
                <w:b/>
                <w:bCs/>
                <w:color w:val="000000"/>
                <w:szCs w:val="24"/>
              </w:rPr>
              <w:t>型号</w:t>
            </w:r>
          </w:p>
        </w:tc>
        <w:tc>
          <w:tcPr>
            <w:tcW w:w="1135" w:type="dxa"/>
            <w:tcBorders>
              <w:top w:val="single" w:color="000000" w:sz="4" w:space="0"/>
              <w:left w:val="single" w:color="000000" w:sz="4" w:space="0"/>
              <w:bottom w:val="single" w:color="000000" w:sz="4" w:space="0"/>
              <w:right w:val="single" w:color="000000" w:sz="4" w:space="0"/>
            </w:tcBorders>
            <w:vAlign w:val="center"/>
          </w:tcPr>
          <w:p w14:paraId="5A9D0401">
            <w:pPr>
              <w:widowControl/>
              <w:adjustRightInd/>
              <w:spacing w:line="240" w:lineRule="auto"/>
              <w:jc w:val="center"/>
              <w:textAlignment w:val="auto"/>
              <w:rPr>
                <w:rFonts w:hint="eastAsia" w:ascii="宋体" w:hAnsi="宋体" w:cs="宋体"/>
                <w:b/>
                <w:bCs/>
                <w:color w:val="000000"/>
                <w:szCs w:val="24"/>
              </w:rPr>
            </w:pPr>
            <w:r>
              <w:rPr>
                <w:rFonts w:hint="eastAsia" w:ascii="宋体" w:hAnsi="宋体" w:cs="宋体"/>
                <w:b/>
                <w:bCs/>
                <w:color w:val="000000"/>
                <w:szCs w:val="24"/>
              </w:rPr>
              <w:t>厂家</w:t>
            </w:r>
          </w:p>
        </w:tc>
        <w:tc>
          <w:tcPr>
            <w:tcW w:w="1701" w:type="dxa"/>
            <w:tcBorders>
              <w:top w:val="single" w:color="000000" w:sz="4" w:space="0"/>
              <w:left w:val="single" w:color="000000" w:sz="4" w:space="0"/>
              <w:bottom w:val="single" w:color="000000" w:sz="4" w:space="0"/>
              <w:right w:val="single" w:color="000000" w:sz="4" w:space="0"/>
            </w:tcBorders>
            <w:vAlign w:val="center"/>
          </w:tcPr>
          <w:p w14:paraId="54AF8AFB">
            <w:pPr>
              <w:widowControl/>
              <w:adjustRightInd/>
              <w:spacing w:line="240" w:lineRule="auto"/>
              <w:jc w:val="center"/>
              <w:textAlignment w:val="auto"/>
              <w:rPr>
                <w:rFonts w:hint="eastAsia" w:ascii="宋体" w:hAnsi="宋体" w:cs="宋体"/>
                <w:b/>
                <w:bCs/>
                <w:color w:val="000000"/>
                <w:szCs w:val="24"/>
              </w:rPr>
            </w:pPr>
            <w:r>
              <w:rPr>
                <w:rFonts w:hint="eastAsia" w:ascii="宋体" w:hAnsi="宋体" w:cs="宋体"/>
                <w:b/>
                <w:bCs/>
                <w:color w:val="000000"/>
                <w:szCs w:val="24"/>
              </w:rPr>
              <w:t>备注</w:t>
            </w:r>
          </w:p>
        </w:tc>
      </w:tr>
      <w:tr w14:paraId="7E1F629D">
        <w:tblPrEx>
          <w:tblCellMar>
            <w:top w:w="0" w:type="dxa"/>
            <w:left w:w="108" w:type="dxa"/>
            <w:bottom w:w="0" w:type="dxa"/>
            <w:right w:w="108" w:type="dxa"/>
          </w:tblCellMar>
        </w:tblPrEx>
        <w:trPr>
          <w:trHeight w:val="570" w:hRule="atLeast"/>
        </w:trPr>
        <w:tc>
          <w:tcPr>
            <w:tcW w:w="739" w:type="dxa"/>
            <w:tcBorders>
              <w:top w:val="single" w:color="000000" w:sz="4" w:space="0"/>
              <w:left w:val="single" w:color="000000" w:sz="4" w:space="0"/>
              <w:bottom w:val="single" w:color="000000" w:sz="4" w:space="0"/>
              <w:right w:val="single" w:color="000000" w:sz="4" w:space="0"/>
            </w:tcBorders>
            <w:vAlign w:val="center"/>
          </w:tcPr>
          <w:p w14:paraId="06CAEC78">
            <w:pPr>
              <w:widowControl/>
              <w:adjustRightInd/>
              <w:spacing w:line="240" w:lineRule="auto"/>
              <w:jc w:val="center"/>
              <w:textAlignment w:val="auto"/>
              <w:rPr>
                <w:rFonts w:hint="eastAsia" w:ascii="宋体" w:hAnsi="宋体" w:cs="宋体"/>
                <w:color w:val="000000"/>
                <w:szCs w:val="24"/>
              </w:rPr>
            </w:pPr>
            <w:r>
              <w:rPr>
                <w:rFonts w:hint="eastAsia" w:ascii="宋体" w:hAnsi="宋体" w:cs="宋体"/>
                <w:color w:val="000000"/>
                <w:szCs w:val="24"/>
              </w:rPr>
              <w:t>1</w:t>
            </w:r>
          </w:p>
        </w:tc>
        <w:tc>
          <w:tcPr>
            <w:tcW w:w="1611" w:type="dxa"/>
            <w:tcBorders>
              <w:top w:val="single" w:color="000000" w:sz="4" w:space="0"/>
              <w:left w:val="single" w:color="000000" w:sz="4" w:space="0"/>
              <w:bottom w:val="single" w:color="000000" w:sz="4" w:space="0"/>
              <w:right w:val="single" w:color="000000" w:sz="4" w:space="0"/>
            </w:tcBorders>
            <w:vAlign w:val="center"/>
          </w:tcPr>
          <w:p w14:paraId="31DE5E55">
            <w:pPr>
              <w:widowControl/>
              <w:adjustRightInd/>
              <w:spacing w:line="240" w:lineRule="auto"/>
              <w:jc w:val="center"/>
              <w:textAlignment w:val="auto"/>
              <w:rPr>
                <w:rFonts w:hint="eastAsia" w:ascii="宋体" w:hAnsi="宋体" w:cs="宋体"/>
                <w:color w:val="000000"/>
                <w:szCs w:val="24"/>
              </w:rPr>
            </w:pPr>
            <w:r>
              <w:rPr>
                <w:rFonts w:hint="eastAsia" w:ascii="宋体" w:hAnsi="宋体" w:cs="宋体"/>
                <w:color w:val="000000"/>
                <w:szCs w:val="24"/>
              </w:rPr>
              <w:t>LED显示屏</w:t>
            </w:r>
          </w:p>
        </w:tc>
        <w:tc>
          <w:tcPr>
            <w:tcW w:w="1194" w:type="dxa"/>
            <w:tcBorders>
              <w:top w:val="single" w:color="000000" w:sz="4" w:space="0"/>
              <w:left w:val="single" w:color="000000" w:sz="4" w:space="0"/>
              <w:bottom w:val="single" w:color="000000" w:sz="4" w:space="0"/>
              <w:right w:val="single" w:color="000000" w:sz="4" w:space="0"/>
            </w:tcBorders>
            <w:vAlign w:val="center"/>
          </w:tcPr>
          <w:p w14:paraId="3AD5B932">
            <w:pPr>
              <w:widowControl/>
              <w:adjustRightInd/>
              <w:spacing w:line="240" w:lineRule="auto"/>
              <w:jc w:val="center"/>
              <w:textAlignment w:val="auto"/>
              <w:rPr>
                <w:rFonts w:hint="eastAsia" w:ascii="宋体" w:hAnsi="宋体" w:cs="宋体"/>
                <w:color w:val="000000"/>
                <w:szCs w:val="24"/>
              </w:rPr>
            </w:pPr>
            <w:r>
              <w:rPr>
                <w:rFonts w:hint="eastAsia" w:ascii="宋体" w:hAnsi="宋体" w:cs="宋体"/>
                <w:color w:val="000000"/>
                <w:szCs w:val="24"/>
              </w:rPr>
              <w:t>24.3</w:t>
            </w:r>
          </w:p>
        </w:tc>
        <w:tc>
          <w:tcPr>
            <w:tcW w:w="753" w:type="dxa"/>
            <w:tcBorders>
              <w:top w:val="single" w:color="000000" w:sz="4" w:space="0"/>
              <w:left w:val="single" w:color="000000" w:sz="4" w:space="0"/>
              <w:bottom w:val="single" w:color="000000" w:sz="4" w:space="0"/>
              <w:right w:val="single" w:color="000000" w:sz="4" w:space="0"/>
            </w:tcBorders>
            <w:vAlign w:val="center"/>
          </w:tcPr>
          <w:p w14:paraId="342E9698">
            <w:pPr>
              <w:widowControl/>
              <w:adjustRightInd/>
              <w:spacing w:line="240" w:lineRule="auto"/>
              <w:jc w:val="center"/>
              <w:textAlignment w:val="auto"/>
              <w:rPr>
                <w:rFonts w:hint="eastAsia" w:ascii="宋体" w:hAnsi="宋体" w:cs="宋体"/>
                <w:color w:val="000000"/>
                <w:szCs w:val="24"/>
              </w:rPr>
            </w:pPr>
            <w:r>
              <w:rPr>
                <w:rFonts w:hint="eastAsia" w:ascii="宋体" w:hAnsi="宋体" w:cs="宋体"/>
                <w:color w:val="000000"/>
                <w:szCs w:val="24"/>
              </w:rPr>
              <w:t>m</w:t>
            </w:r>
            <w:r>
              <w:rPr>
                <w:rFonts w:hint="eastAsia" w:ascii="宋体" w:hAnsi="宋体" w:cs="宋体"/>
                <w:color w:val="000000"/>
                <w:szCs w:val="24"/>
                <w:vertAlign w:val="superscript"/>
              </w:rPr>
              <w:t>2</w:t>
            </w:r>
          </w:p>
        </w:tc>
        <w:tc>
          <w:tcPr>
            <w:tcW w:w="1656" w:type="dxa"/>
            <w:tcBorders>
              <w:top w:val="single" w:color="000000" w:sz="4" w:space="0"/>
              <w:left w:val="single" w:color="000000" w:sz="4" w:space="0"/>
              <w:bottom w:val="single" w:color="000000" w:sz="4" w:space="0"/>
              <w:right w:val="single" w:color="000000" w:sz="4" w:space="0"/>
            </w:tcBorders>
            <w:vAlign w:val="center"/>
          </w:tcPr>
          <w:p w14:paraId="7A54207A">
            <w:pPr>
              <w:widowControl/>
              <w:adjustRightInd/>
              <w:spacing w:line="240" w:lineRule="auto"/>
              <w:jc w:val="center"/>
              <w:textAlignment w:val="auto"/>
              <w:rPr>
                <w:rFonts w:hint="eastAsia" w:ascii="宋体" w:hAnsi="宋体" w:cs="宋体"/>
                <w:color w:val="000000"/>
                <w:szCs w:val="24"/>
              </w:rPr>
            </w:pPr>
          </w:p>
        </w:tc>
        <w:tc>
          <w:tcPr>
            <w:tcW w:w="1135" w:type="dxa"/>
            <w:tcBorders>
              <w:top w:val="single" w:color="000000" w:sz="4" w:space="0"/>
              <w:left w:val="single" w:color="000000" w:sz="4" w:space="0"/>
              <w:bottom w:val="single" w:color="000000" w:sz="4" w:space="0"/>
              <w:right w:val="single" w:color="000000" w:sz="4" w:space="0"/>
            </w:tcBorders>
            <w:vAlign w:val="center"/>
          </w:tcPr>
          <w:p w14:paraId="086EF1AB">
            <w:pPr>
              <w:widowControl/>
              <w:adjustRightInd/>
              <w:spacing w:line="240" w:lineRule="auto"/>
              <w:jc w:val="center"/>
              <w:textAlignment w:val="auto"/>
              <w:rPr>
                <w:rFonts w:eastAsia="Times New Roman"/>
                <w:sz w:val="20"/>
              </w:rPr>
            </w:pPr>
          </w:p>
        </w:tc>
        <w:tc>
          <w:tcPr>
            <w:tcW w:w="1701" w:type="dxa"/>
            <w:vMerge w:val="restart"/>
            <w:tcBorders>
              <w:top w:val="single" w:color="000000" w:sz="4" w:space="0"/>
              <w:left w:val="single" w:color="000000" w:sz="4" w:space="0"/>
              <w:bottom w:val="single" w:color="000000" w:sz="4" w:space="0"/>
              <w:right w:val="single" w:color="000000" w:sz="4" w:space="0"/>
            </w:tcBorders>
            <w:vAlign w:val="center"/>
          </w:tcPr>
          <w:p w14:paraId="2339DEA7">
            <w:pPr>
              <w:widowControl/>
              <w:adjustRightInd/>
              <w:spacing w:line="240" w:lineRule="auto"/>
              <w:jc w:val="center"/>
              <w:textAlignment w:val="auto"/>
              <w:rPr>
                <w:rFonts w:hint="eastAsia" w:ascii="宋体" w:hAnsi="宋体" w:cs="宋体"/>
                <w:color w:val="000000"/>
                <w:szCs w:val="24"/>
              </w:rPr>
            </w:pPr>
          </w:p>
        </w:tc>
      </w:tr>
      <w:tr w14:paraId="3FD0D32D">
        <w:tblPrEx>
          <w:tblCellMar>
            <w:top w:w="0" w:type="dxa"/>
            <w:left w:w="108" w:type="dxa"/>
            <w:bottom w:w="0" w:type="dxa"/>
            <w:right w:w="108" w:type="dxa"/>
          </w:tblCellMar>
        </w:tblPrEx>
        <w:trPr>
          <w:trHeight w:val="570" w:hRule="atLeast"/>
        </w:trPr>
        <w:tc>
          <w:tcPr>
            <w:tcW w:w="739" w:type="dxa"/>
            <w:tcBorders>
              <w:top w:val="single" w:color="000000" w:sz="4" w:space="0"/>
              <w:left w:val="single" w:color="000000" w:sz="4" w:space="0"/>
              <w:bottom w:val="single" w:color="000000" w:sz="4" w:space="0"/>
              <w:right w:val="single" w:color="000000" w:sz="4" w:space="0"/>
            </w:tcBorders>
            <w:vAlign w:val="center"/>
          </w:tcPr>
          <w:p w14:paraId="151718D9">
            <w:pPr>
              <w:widowControl/>
              <w:adjustRightInd/>
              <w:spacing w:line="240" w:lineRule="auto"/>
              <w:jc w:val="center"/>
              <w:textAlignment w:val="auto"/>
              <w:rPr>
                <w:rFonts w:hint="eastAsia" w:ascii="宋体" w:hAnsi="宋体" w:cs="宋体"/>
                <w:color w:val="000000"/>
                <w:szCs w:val="24"/>
              </w:rPr>
            </w:pPr>
            <w:r>
              <w:rPr>
                <w:rFonts w:hint="eastAsia" w:ascii="宋体" w:hAnsi="宋体" w:cs="宋体"/>
                <w:color w:val="000000"/>
                <w:szCs w:val="24"/>
              </w:rPr>
              <w:t>2</w:t>
            </w:r>
          </w:p>
        </w:tc>
        <w:tc>
          <w:tcPr>
            <w:tcW w:w="1611" w:type="dxa"/>
            <w:tcBorders>
              <w:top w:val="single" w:color="000000" w:sz="4" w:space="0"/>
              <w:left w:val="single" w:color="000000" w:sz="4" w:space="0"/>
              <w:bottom w:val="single" w:color="000000" w:sz="4" w:space="0"/>
              <w:right w:val="single" w:color="000000" w:sz="4" w:space="0"/>
            </w:tcBorders>
            <w:vAlign w:val="center"/>
          </w:tcPr>
          <w:p w14:paraId="32210165">
            <w:pPr>
              <w:widowControl/>
              <w:adjustRightInd/>
              <w:spacing w:line="240" w:lineRule="auto"/>
              <w:jc w:val="center"/>
              <w:textAlignment w:val="auto"/>
              <w:rPr>
                <w:rFonts w:hint="eastAsia" w:ascii="宋体" w:hAnsi="宋体" w:cs="宋体"/>
                <w:color w:val="000000"/>
                <w:szCs w:val="24"/>
              </w:rPr>
            </w:pPr>
            <w:r>
              <w:rPr>
                <w:rFonts w:hint="eastAsia" w:ascii="宋体" w:hAnsi="宋体" w:cs="宋体"/>
                <w:color w:val="000000"/>
                <w:szCs w:val="24"/>
              </w:rPr>
              <w:t>显示屏控制卡</w:t>
            </w:r>
          </w:p>
        </w:tc>
        <w:tc>
          <w:tcPr>
            <w:tcW w:w="1194" w:type="dxa"/>
            <w:tcBorders>
              <w:top w:val="single" w:color="000000" w:sz="4" w:space="0"/>
              <w:left w:val="single" w:color="000000" w:sz="4" w:space="0"/>
              <w:bottom w:val="single" w:color="000000" w:sz="4" w:space="0"/>
              <w:right w:val="single" w:color="000000" w:sz="4" w:space="0"/>
            </w:tcBorders>
            <w:vAlign w:val="center"/>
          </w:tcPr>
          <w:p w14:paraId="373F3AE3">
            <w:pPr>
              <w:widowControl/>
              <w:adjustRightInd/>
              <w:spacing w:line="240" w:lineRule="auto"/>
              <w:jc w:val="center"/>
              <w:textAlignment w:val="auto"/>
              <w:rPr>
                <w:rFonts w:hint="eastAsia" w:ascii="宋体" w:hAnsi="宋体" w:cs="宋体"/>
                <w:color w:val="000000"/>
                <w:szCs w:val="24"/>
              </w:rPr>
            </w:pPr>
            <w:r>
              <w:rPr>
                <w:rFonts w:hint="eastAsia" w:ascii="宋体" w:hAnsi="宋体" w:cs="宋体"/>
                <w:color w:val="000000"/>
                <w:szCs w:val="24"/>
              </w:rPr>
              <w:t>6</w:t>
            </w:r>
          </w:p>
        </w:tc>
        <w:tc>
          <w:tcPr>
            <w:tcW w:w="753" w:type="dxa"/>
            <w:tcBorders>
              <w:top w:val="single" w:color="000000" w:sz="4" w:space="0"/>
              <w:left w:val="single" w:color="000000" w:sz="4" w:space="0"/>
              <w:bottom w:val="single" w:color="000000" w:sz="4" w:space="0"/>
              <w:right w:val="single" w:color="000000" w:sz="4" w:space="0"/>
            </w:tcBorders>
            <w:vAlign w:val="center"/>
          </w:tcPr>
          <w:p w14:paraId="0FC2DCFA">
            <w:pPr>
              <w:widowControl/>
              <w:adjustRightInd/>
              <w:spacing w:line="240" w:lineRule="auto"/>
              <w:jc w:val="center"/>
              <w:textAlignment w:val="auto"/>
              <w:rPr>
                <w:rFonts w:hint="eastAsia" w:ascii="宋体" w:hAnsi="宋体" w:cs="宋体"/>
                <w:color w:val="000000"/>
                <w:szCs w:val="24"/>
              </w:rPr>
            </w:pPr>
            <w:r>
              <w:rPr>
                <w:rFonts w:hint="eastAsia" w:ascii="宋体" w:hAnsi="宋体" w:cs="宋体"/>
                <w:color w:val="000000"/>
                <w:szCs w:val="24"/>
              </w:rPr>
              <w:t>台</w:t>
            </w:r>
          </w:p>
        </w:tc>
        <w:tc>
          <w:tcPr>
            <w:tcW w:w="1656" w:type="dxa"/>
            <w:tcBorders>
              <w:top w:val="single" w:color="000000" w:sz="4" w:space="0"/>
              <w:left w:val="single" w:color="000000" w:sz="4" w:space="0"/>
              <w:bottom w:val="single" w:color="000000" w:sz="4" w:space="0"/>
              <w:right w:val="single" w:color="000000" w:sz="4" w:space="0"/>
            </w:tcBorders>
            <w:vAlign w:val="center"/>
          </w:tcPr>
          <w:p w14:paraId="41A41360">
            <w:pPr>
              <w:keepNext/>
              <w:keepLines/>
              <w:widowControl/>
              <w:adjustRightInd/>
              <w:spacing w:line="240" w:lineRule="auto"/>
              <w:jc w:val="center"/>
              <w:textAlignment w:val="auto"/>
              <w:outlineLvl w:val="0"/>
              <w:rPr>
                <w:rFonts w:hint="eastAsia" w:ascii="宋体" w:hAnsi="宋体" w:cs="宋体"/>
                <w:color w:val="000000"/>
                <w:szCs w:val="24"/>
              </w:rPr>
            </w:pPr>
          </w:p>
        </w:tc>
        <w:tc>
          <w:tcPr>
            <w:tcW w:w="1135" w:type="dxa"/>
            <w:tcBorders>
              <w:top w:val="single" w:color="000000" w:sz="4" w:space="0"/>
              <w:left w:val="single" w:color="000000" w:sz="4" w:space="0"/>
              <w:bottom w:val="single" w:color="000000" w:sz="4" w:space="0"/>
              <w:right w:val="single" w:color="000000" w:sz="4" w:space="0"/>
            </w:tcBorders>
            <w:vAlign w:val="center"/>
          </w:tcPr>
          <w:p w14:paraId="4E881853">
            <w:pPr>
              <w:widowControl/>
              <w:adjustRightInd/>
              <w:spacing w:line="240" w:lineRule="auto"/>
              <w:jc w:val="center"/>
              <w:textAlignment w:val="auto"/>
              <w:rPr>
                <w:rFonts w:eastAsia="Times New Roman"/>
                <w:sz w:val="20"/>
              </w:rPr>
            </w:pPr>
          </w:p>
        </w:tc>
        <w:tc>
          <w:tcPr>
            <w:tcW w:w="1701" w:type="dxa"/>
            <w:vMerge w:val="continue"/>
            <w:tcBorders>
              <w:top w:val="single" w:color="000000" w:sz="4" w:space="0"/>
              <w:left w:val="single" w:color="000000" w:sz="4" w:space="0"/>
              <w:bottom w:val="single" w:color="000000" w:sz="4" w:space="0"/>
              <w:right w:val="single" w:color="000000" w:sz="4" w:space="0"/>
            </w:tcBorders>
            <w:vAlign w:val="center"/>
          </w:tcPr>
          <w:p w14:paraId="561A08CF">
            <w:pPr>
              <w:widowControl/>
              <w:adjustRightInd/>
              <w:spacing w:line="240" w:lineRule="auto"/>
              <w:textAlignment w:val="auto"/>
              <w:rPr>
                <w:rFonts w:hint="eastAsia" w:ascii="宋体" w:hAnsi="宋体" w:cs="宋体"/>
                <w:color w:val="000000"/>
                <w:szCs w:val="24"/>
              </w:rPr>
            </w:pPr>
          </w:p>
        </w:tc>
      </w:tr>
      <w:tr w14:paraId="0B8BCCF7">
        <w:tblPrEx>
          <w:tblCellMar>
            <w:top w:w="0" w:type="dxa"/>
            <w:left w:w="108" w:type="dxa"/>
            <w:bottom w:w="0" w:type="dxa"/>
            <w:right w:w="108" w:type="dxa"/>
          </w:tblCellMar>
        </w:tblPrEx>
        <w:trPr>
          <w:trHeight w:val="570" w:hRule="atLeast"/>
        </w:trPr>
        <w:tc>
          <w:tcPr>
            <w:tcW w:w="739" w:type="dxa"/>
            <w:tcBorders>
              <w:top w:val="single" w:color="000000" w:sz="4" w:space="0"/>
              <w:left w:val="single" w:color="000000" w:sz="4" w:space="0"/>
              <w:bottom w:val="single" w:color="000000" w:sz="4" w:space="0"/>
              <w:right w:val="single" w:color="000000" w:sz="4" w:space="0"/>
            </w:tcBorders>
            <w:vAlign w:val="center"/>
          </w:tcPr>
          <w:p w14:paraId="4942475B">
            <w:pPr>
              <w:widowControl/>
              <w:adjustRightInd/>
              <w:spacing w:line="240" w:lineRule="auto"/>
              <w:jc w:val="center"/>
              <w:textAlignment w:val="auto"/>
              <w:rPr>
                <w:rFonts w:hint="eastAsia" w:ascii="宋体" w:hAnsi="宋体" w:cs="宋体"/>
                <w:color w:val="000000"/>
                <w:szCs w:val="24"/>
              </w:rPr>
            </w:pPr>
            <w:r>
              <w:rPr>
                <w:rFonts w:hint="eastAsia" w:ascii="宋体" w:hAnsi="宋体" w:cs="宋体"/>
                <w:color w:val="000000"/>
                <w:szCs w:val="24"/>
              </w:rPr>
              <w:t>3</w:t>
            </w:r>
          </w:p>
        </w:tc>
        <w:tc>
          <w:tcPr>
            <w:tcW w:w="1611" w:type="dxa"/>
            <w:tcBorders>
              <w:top w:val="single" w:color="000000" w:sz="4" w:space="0"/>
              <w:left w:val="single" w:color="000000" w:sz="4" w:space="0"/>
              <w:bottom w:val="single" w:color="000000" w:sz="4" w:space="0"/>
              <w:right w:val="single" w:color="000000" w:sz="4" w:space="0"/>
            </w:tcBorders>
            <w:vAlign w:val="center"/>
          </w:tcPr>
          <w:p w14:paraId="0EB83804">
            <w:pPr>
              <w:widowControl/>
              <w:adjustRightInd/>
              <w:spacing w:line="240" w:lineRule="auto"/>
              <w:jc w:val="center"/>
              <w:textAlignment w:val="auto"/>
              <w:rPr>
                <w:rFonts w:hint="eastAsia" w:ascii="宋体" w:hAnsi="宋体" w:cs="宋体"/>
                <w:color w:val="000000"/>
                <w:szCs w:val="24"/>
              </w:rPr>
            </w:pPr>
            <w:r>
              <w:rPr>
                <w:rFonts w:hint="eastAsia" w:ascii="宋体" w:hAnsi="宋体" w:cs="宋体"/>
                <w:color w:val="000000"/>
                <w:szCs w:val="24"/>
              </w:rPr>
              <w:t>大屏处理器</w:t>
            </w:r>
          </w:p>
        </w:tc>
        <w:tc>
          <w:tcPr>
            <w:tcW w:w="1194" w:type="dxa"/>
            <w:tcBorders>
              <w:top w:val="single" w:color="000000" w:sz="4" w:space="0"/>
              <w:left w:val="single" w:color="000000" w:sz="4" w:space="0"/>
              <w:bottom w:val="single" w:color="000000" w:sz="4" w:space="0"/>
              <w:right w:val="single" w:color="000000" w:sz="4" w:space="0"/>
            </w:tcBorders>
            <w:vAlign w:val="center"/>
          </w:tcPr>
          <w:p w14:paraId="4C49AFA5">
            <w:pPr>
              <w:widowControl/>
              <w:adjustRightInd/>
              <w:spacing w:line="240" w:lineRule="auto"/>
              <w:jc w:val="center"/>
              <w:textAlignment w:val="auto"/>
              <w:rPr>
                <w:rFonts w:hint="eastAsia" w:ascii="宋体" w:hAnsi="宋体" w:cs="宋体"/>
                <w:color w:val="000000"/>
                <w:szCs w:val="24"/>
              </w:rPr>
            </w:pPr>
            <w:r>
              <w:rPr>
                <w:rFonts w:hint="eastAsia" w:ascii="宋体" w:hAnsi="宋体" w:cs="宋体"/>
                <w:color w:val="000000"/>
                <w:szCs w:val="24"/>
              </w:rPr>
              <w:t>1</w:t>
            </w:r>
          </w:p>
        </w:tc>
        <w:tc>
          <w:tcPr>
            <w:tcW w:w="753" w:type="dxa"/>
            <w:tcBorders>
              <w:top w:val="single" w:color="000000" w:sz="4" w:space="0"/>
              <w:left w:val="single" w:color="000000" w:sz="4" w:space="0"/>
              <w:bottom w:val="single" w:color="000000" w:sz="4" w:space="0"/>
              <w:right w:val="single" w:color="000000" w:sz="4" w:space="0"/>
            </w:tcBorders>
            <w:vAlign w:val="center"/>
          </w:tcPr>
          <w:p w14:paraId="41E41DA4">
            <w:pPr>
              <w:widowControl/>
              <w:adjustRightInd/>
              <w:spacing w:line="240" w:lineRule="auto"/>
              <w:jc w:val="center"/>
              <w:textAlignment w:val="auto"/>
              <w:rPr>
                <w:rFonts w:hint="eastAsia" w:ascii="宋体" w:hAnsi="宋体" w:cs="宋体"/>
                <w:color w:val="000000"/>
                <w:szCs w:val="24"/>
              </w:rPr>
            </w:pPr>
            <w:r>
              <w:rPr>
                <w:rFonts w:hint="eastAsia" w:ascii="宋体" w:hAnsi="宋体" w:cs="宋体"/>
                <w:color w:val="000000"/>
                <w:szCs w:val="24"/>
              </w:rPr>
              <w:t>套</w:t>
            </w:r>
          </w:p>
        </w:tc>
        <w:tc>
          <w:tcPr>
            <w:tcW w:w="1656" w:type="dxa"/>
            <w:tcBorders>
              <w:top w:val="single" w:color="000000" w:sz="4" w:space="0"/>
              <w:left w:val="single" w:color="000000" w:sz="4" w:space="0"/>
              <w:bottom w:val="single" w:color="000000" w:sz="4" w:space="0"/>
              <w:right w:val="single" w:color="000000" w:sz="4" w:space="0"/>
            </w:tcBorders>
            <w:vAlign w:val="center"/>
          </w:tcPr>
          <w:p w14:paraId="6751E81B">
            <w:pPr>
              <w:widowControl/>
              <w:adjustRightInd/>
              <w:spacing w:line="240" w:lineRule="auto"/>
              <w:jc w:val="center"/>
              <w:textAlignment w:val="auto"/>
              <w:rPr>
                <w:rFonts w:hint="eastAsia" w:ascii="宋体" w:hAnsi="宋体" w:cs="宋体"/>
                <w:color w:val="000000"/>
                <w:szCs w:val="24"/>
              </w:rPr>
            </w:pPr>
          </w:p>
        </w:tc>
        <w:tc>
          <w:tcPr>
            <w:tcW w:w="1135" w:type="dxa"/>
            <w:tcBorders>
              <w:top w:val="single" w:color="000000" w:sz="4" w:space="0"/>
              <w:left w:val="single" w:color="000000" w:sz="4" w:space="0"/>
              <w:bottom w:val="single" w:color="000000" w:sz="4" w:space="0"/>
              <w:right w:val="single" w:color="000000" w:sz="4" w:space="0"/>
            </w:tcBorders>
            <w:vAlign w:val="center"/>
          </w:tcPr>
          <w:p w14:paraId="4C42313E">
            <w:pPr>
              <w:widowControl/>
              <w:adjustRightInd/>
              <w:spacing w:line="240" w:lineRule="auto"/>
              <w:jc w:val="center"/>
              <w:textAlignment w:val="auto"/>
              <w:rPr>
                <w:rFonts w:eastAsia="Times New Roman"/>
                <w:sz w:val="20"/>
              </w:rPr>
            </w:pPr>
          </w:p>
        </w:tc>
        <w:tc>
          <w:tcPr>
            <w:tcW w:w="1701" w:type="dxa"/>
            <w:vMerge w:val="continue"/>
            <w:tcBorders>
              <w:top w:val="single" w:color="000000" w:sz="4" w:space="0"/>
              <w:left w:val="single" w:color="000000" w:sz="4" w:space="0"/>
              <w:bottom w:val="single" w:color="000000" w:sz="4" w:space="0"/>
              <w:right w:val="single" w:color="000000" w:sz="4" w:space="0"/>
            </w:tcBorders>
            <w:vAlign w:val="center"/>
          </w:tcPr>
          <w:p w14:paraId="226804C5">
            <w:pPr>
              <w:widowControl/>
              <w:adjustRightInd/>
              <w:spacing w:line="240" w:lineRule="auto"/>
              <w:textAlignment w:val="auto"/>
              <w:rPr>
                <w:rFonts w:hint="eastAsia" w:ascii="宋体" w:hAnsi="宋体" w:cs="宋体"/>
                <w:color w:val="000000"/>
                <w:szCs w:val="24"/>
              </w:rPr>
            </w:pPr>
          </w:p>
        </w:tc>
      </w:tr>
      <w:tr w14:paraId="134D4638">
        <w:tblPrEx>
          <w:tblCellMar>
            <w:top w:w="0" w:type="dxa"/>
            <w:left w:w="108" w:type="dxa"/>
            <w:bottom w:w="0" w:type="dxa"/>
            <w:right w:w="108" w:type="dxa"/>
          </w:tblCellMar>
        </w:tblPrEx>
        <w:trPr>
          <w:trHeight w:val="570" w:hRule="atLeast"/>
        </w:trPr>
        <w:tc>
          <w:tcPr>
            <w:tcW w:w="739" w:type="dxa"/>
            <w:tcBorders>
              <w:top w:val="single" w:color="000000" w:sz="4" w:space="0"/>
              <w:left w:val="single" w:color="000000" w:sz="4" w:space="0"/>
              <w:bottom w:val="single" w:color="000000" w:sz="4" w:space="0"/>
              <w:right w:val="single" w:color="000000" w:sz="4" w:space="0"/>
            </w:tcBorders>
            <w:vAlign w:val="center"/>
          </w:tcPr>
          <w:p w14:paraId="0D42D994">
            <w:pPr>
              <w:widowControl/>
              <w:adjustRightInd/>
              <w:spacing w:line="240" w:lineRule="auto"/>
              <w:jc w:val="center"/>
              <w:textAlignment w:val="auto"/>
              <w:rPr>
                <w:rFonts w:hint="eastAsia" w:ascii="宋体" w:hAnsi="宋体" w:cs="宋体"/>
                <w:color w:val="000000"/>
                <w:szCs w:val="24"/>
              </w:rPr>
            </w:pPr>
            <w:r>
              <w:rPr>
                <w:rFonts w:hint="eastAsia" w:ascii="宋体" w:hAnsi="宋体" w:cs="宋体"/>
                <w:color w:val="000000"/>
                <w:szCs w:val="24"/>
              </w:rPr>
              <w:t>4</w:t>
            </w:r>
          </w:p>
        </w:tc>
        <w:tc>
          <w:tcPr>
            <w:tcW w:w="1611" w:type="dxa"/>
            <w:tcBorders>
              <w:top w:val="single" w:color="000000" w:sz="4" w:space="0"/>
              <w:left w:val="single" w:color="000000" w:sz="4" w:space="0"/>
              <w:bottom w:val="single" w:color="000000" w:sz="4" w:space="0"/>
              <w:right w:val="single" w:color="000000" w:sz="4" w:space="0"/>
            </w:tcBorders>
            <w:vAlign w:val="center"/>
          </w:tcPr>
          <w:p w14:paraId="58A1BEEF">
            <w:pPr>
              <w:widowControl/>
              <w:adjustRightInd/>
              <w:spacing w:line="240" w:lineRule="auto"/>
              <w:jc w:val="center"/>
              <w:textAlignment w:val="auto"/>
              <w:rPr>
                <w:rFonts w:hint="eastAsia" w:ascii="宋体" w:hAnsi="宋体" w:cs="宋体"/>
                <w:color w:val="000000"/>
                <w:szCs w:val="24"/>
              </w:rPr>
            </w:pPr>
            <w:r>
              <w:rPr>
                <w:rFonts w:hint="eastAsia" w:ascii="宋体" w:hAnsi="宋体" w:cs="宋体"/>
                <w:color w:val="000000"/>
                <w:szCs w:val="24"/>
              </w:rPr>
              <w:t>控制软件一体机</w:t>
            </w:r>
          </w:p>
        </w:tc>
        <w:tc>
          <w:tcPr>
            <w:tcW w:w="1194" w:type="dxa"/>
            <w:tcBorders>
              <w:top w:val="single" w:color="000000" w:sz="4" w:space="0"/>
              <w:left w:val="single" w:color="000000" w:sz="4" w:space="0"/>
              <w:bottom w:val="single" w:color="000000" w:sz="4" w:space="0"/>
              <w:right w:val="single" w:color="000000" w:sz="4" w:space="0"/>
            </w:tcBorders>
            <w:vAlign w:val="center"/>
          </w:tcPr>
          <w:p w14:paraId="5026AB31">
            <w:pPr>
              <w:widowControl/>
              <w:adjustRightInd/>
              <w:spacing w:line="240" w:lineRule="auto"/>
              <w:jc w:val="center"/>
              <w:textAlignment w:val="auto"/>
              <w:rPr>
                <w:rFonts w:hint="eastAsia" w:ascii="宋体" w:hAnsi="宋体" w:cs="宋体"/>
                <w:color w:val="000000"/>
                <w:szCs w:val="24"/>
              </w:rPr>
            </w:pPr>
            <w:r>
              <w:rPr>
                <w:rFonts w:hint="eastAsia" w:ascii="宋体" w:hAnsi="宋体" w:cs="宋体"/>
                <w:color w:val="000000"/>
                <w:szCs w:val="24"/>
              </w:rPr>
              <w:t>1</w:t>
            </w:r>
          </w:p>
        </w:tc>
        <w:tc>
          <w:tcPr>
            <w:tcW w:w="753" w:type="dxa"/>
            <w:tcBorders>
              <w:top w:val="single" w:color="000000" w:sz="4" w:space="0"/>
              <w:left w:val="single" w:color="000000" w:sz="4" w:space="0"/>
              <w:bottom w:val="single" w:color="000000" w:sz="4" w:space="0"/>
              <w:right w:val="single" w:color="000000" w:sz="4" w:space="0"/>
            </w:tcBorders>
            <w:vAlign w:val="center"/>
          </w:tcPr>
          <w:p w14:paraId="768264DE">
            <w:pPr>
              <w:widowControl/>
              <w:adjustRightInd/>
              <w:spacing w:line="240" w:lineRule="auto"/>
              <w:jc w:val="center"/>
              <w:textAlignment w:val="auto"/>
              <w:rPr>
                <w:rFonts w:hint="eastAsia" w:ascii="宋体" w:hAnsi="宋体" w:cs="宋体"/>
                <w:color w:val="000000"/>
                <w:szCs w:val="24"/>
              </w:rPr>
            </w:pPr>
            <w:r>
              <w:rPr>
                <w:rFonts w:hint="eastAsia" w:ascii="宋体" w:hAnsi="宋体" w:cs="宋体"/>
                <w:color w:val="000000"/>
                <w:szCs w:val="24"/>
              </w:rPr>
              <w:t>套</w:t>
            </w:r>
          </w:p>
        </w:tc>
        <w:tc>
          <w:tcPr>
            <w:tcW w:w="1656" w:type="dxa"/>
            <w:tcBorders>
              <w:top w:val="single" w:color="000000" w:sz="4" w:space="0"/>
              <w:left w:val="single" w:color="000000" w:sz="4" w:space="0"/>
              <w:bottom w:val="single" w:color="000000" w:sz="4" w:space="0"/>
              <w:right w:val="single" w:color="000000" w:sz="4" w:space="0"/>
            </w:tcBorders>
            <w:vAlign w:val="center"/>
          </w:tcPr>
          <w:p w14:paraId="03649256">
            <w:pPr>
              <w:widowControl/>
              <w:adjustRightInd/>
              <w:spacing w:line="240" w:lineRule="auto"/>
              <w:jc w:val="center"/>
              <w:textAlignment w:val="auto"/>
              <w:rPr>
                <w:rFonts w:hint="eastAsia" w:ascii="宋体" w:hAnsi="宋体" w:cs="宋体"/>
                <w:color w:val="000000"/>
                <w:szCs w:val="24"/>
              </w:rPr>
            </w:pPr>
          </w:p>
        </w:tc>
        <w:tc>
          <w:tcPr>
            <w:tcW w:w="1135" w:type="dxa"/>
            <w:tcBorders>
              <w:top w:val="single" w:color="000000" w:sz="4" w:space="0"/>
              <w:left w:val="single" w:color="000000" w:sz="4" w:space="0"/>
              <w:bottom w:val="single" w:color="000000" w:sz="4" w:space="0"/>
              <w:right w:val="single" w:color="000000" w:sz="4" w:space="0"/>
            </w:tcBorders>
            <w:vAlign w:val="center"/>
          </w:tcPr>
          <w:p w14:paraId="444EA01E">
            <w:pPr>
              <w:widowControl/>
              <w:adjustRightInd/>
              <w:spacing w:line="240" w:lineRule="auto"/>
              <w:jc w:val="center"/>
              <w:textAlignment w:val="auto"/>
              <w:rPr>
                <w:rFonts w:eastAsia="Times New Roman"/>
                <w:sz w:val="20"/>
              </w:rPr>
            </w:pPr>
          </w:p>
        </w:tc>
        <w:tc>
          <w:tcPr>
            <w:tcW w:w="1701" w:type="dxa"/>
            <w:vMerge w:val="continue"/>
            <w:tcBorders>
              <w:top w:val="single" w:color="000000" w:sz="4" w:space="0"/>
              <w:left w:val="single" w:color="000000" w:sz="4" w:space="0"/>
              <w:bottom w:val="single" w:color="000000" w:sz="4" w:space="0"/>
              <w:right w:val="single" w:color="000000" w:sz="4" w:space="0"/>
            </w:tcBorders>
            <w:vAlign w:val="center"/>
          </w:tcPr>
          <w:p w14:paraId="1761858E">
            <w:pPr>
              <w:widowControl/>
              <w:adjustRightInd/>
              <w:spacing w:line="240" w:lineRule="auto"/>
              <w:textAlignment w:val="auto"/>
              <w:rPr>
                <w:rFonts w:hint="eastAsia" w:ascii="宋体" w:hAnsi="宋体" w:cs="宋体"/>
                <w:color w:val="000000"/>
                <w:szCs w:val="24"/>
              </w:rPr>
            </w:pPr>
          </w:p>
        </w:tc>
      </w:tr>
      <w:tr w14:paraId="2D3050B5">
        <w:tblPrEx>
          <w:tblCellMar>
            <w:top w:w="0" w:type="dxa"/>
            <w:left w:w="108" w:type="dxa"/>
            <w:bottom w:w="0" w:type="dxa"/>
            <w:right w:w="108" w:type="dxa"/>
          </w:tblCellMar>
        </w:tblPrEx>
        <w:trPr>
          <w:trHeight w:val="855" w:hRule="atLeast"/>
        </w:trPr>
        <w:tc>
          <w:tcPr>
            <w:tcW w:w="739" w:type="dxa"/>
            <w:tcBorders>
              <w:top w:val="single" w:color="000000" w:sz="4" w:space="0"/>
              <w:left w:val="single" w:color="000000" w:sz="4" w:space="0"/>
              <w:bottom w:val="single" w:color="000000" w:sz="4" w:space="0"/>
              <w:right w:val="single" w:color="000000" w:sz="4" w:space="0"/>
            </w:tcBorders>
            <w:vAlign w:val="center"/>
          </w:tcPr>
          <w:p w14:paraId="12F629A1">
            <w:pPr>
              <w:widowControl/>
              <w:adjustRightInd/>
              <w:spacing w:line="240" w:lineRule="auto"/>
              <w:jc w:val="center"/>
              <w:textAlignment w:val="auto"/>
              <w:rPr>
                <w:rFonts w:hint="eastAsia" w:ascii="宋体" w:hAnsi="宋体" w:cs="宋体"/>
                <w:color w:val="000000"/>
                <w:szCs w:val="24"/>
              </w:rPr>
            </w:pPr>
            <w:r>
              <w:rPr>
                <w:rFonts w:hint="eastAsia" w:ascii="宋体" w:hAnsi="宋体" w:cs="宋体"/>
                <w:color w:val="000000"/>
                <w:szCs w:val="24"/>
              </w:rPr>
              <w:t>5</w:t>
            </w:r>
          </w:p>
        </w:tc>
        <w:tc>
          <w:tcPr>
            <w:tcW w:w="1611" w:type="dxa"/>
            <w:tcBorders>
              <w:top w:val="single" w:color="000000" w:sz="4" w:space="0"/>
              <w:left w:val="single" w:color="000000" w:sz="4" w:space="0"/>
              <w:bottom w:val="single" w:color="000000" w:sz="4" w:space="0"/>
              <w:right w:val="single" w:color="000000" w:sz="4" w:space="0"/>
            </w:tcBorders>
            <w:vAlign w:val="center"/>
          </w:tcPr>
          <w:p w14:paraId="08A7BD04">
            <w:pPr>
              <w:widowControl/>
              <w:adjustRightInd/>
              <w:spacing w:line="240" w:lineRule="auto"/>
              <w:jc w:val="center"/>
              <w:textAlignment w:val="auto"/>
              <w:rPr>
                <w:rFonts w:hint="eastAsia" w:ascii="宋体" w:hAnsi="宋体" w:cs="宋体"/>
                <w:color w:val="000000"/>
                <w:szCs w:val="24"/>
              </w:rPr>
            </w:pPr>
            <w:r>
              <w:rPr>
                <w:rFonts w:hint="eastAsia" w:ascii="宋体" w:hAnsi="宋体" w:cs="宋体"/>
                <w:color w:val="000000"/>
                <w:szCs w:val="24"/>
              </w:rPr>
              <w:t>机柜</w:t>
            </w:r>
          </w:p>
        </w:tc>
        <w:tc>
          <w:tcPr>
            <w:tcW w:w="1194" w:type="dxa"/>
            <w:tcBorders>
              <w:top w:val="single" w:color="000000" w:sz="4" w:space="0"/>
              <w:left w:val="single" w:color="000000" w:sz="4" w:space="0"/>
              <w:bottom w:val="single" w:color="000000" w:sz="4" w:space="0"/>
              <w:right w:val="single" w:color="000000" w:sz="4" w:space="0"/>
            </w:tcBorders>
            <w:vAlign w:val="center"/>
          </w:tcPr>
          <w:p w14:paraId="260AE66C">
            <w:pPr>
              <w:widowControl/>
              <w:adjustRightInd/>
              <w:spacing w:line="240" w:lineRule="auto"/>
              <w:jc w:val="center"/>
              <w:textAlignment w:val="auto"/>
              <w:rPr>
                <w:rFonts w:hint="eastAsia" w:ascii="宋体" w:hAnsi="宋体" w:cs="宋体"/>
                <w:color w:val="000000"/>
                <w:szCs w:val="24"/>
              </w:rPr>
            </w:pPr>
            <w:r>
              <w:rPr>
                <w:rFonts w:hint="eastAsia" w:ascii="宋体" w:hAnsi="宋体" w:cs="宋体"/>
                <w:color w:val="000000"/>
                <w:szCs w:val="24"/>
              </w:rPr>
              <w:t>1</w:t>
            </w:r>
          </w:p>
        </w:tc>
        <w:tc>
          <w:tcPr>
            <w:tcW w:w="753" w:type="dxa"/>
            <w:tcBorders>
              <w:top w:val="single" w:color="000000" w:sz="4" w:space="0"/>
              <w:left w:val="single" w:color="000000" w:sz="4" w:space="0"/>
              <w:bottom w:val="single" w:color="000000" w:sz="4" w:space="0"/>
              <w:right w:val="single" w:color="000000" w:sz="4" w:space="0"/>
            </w:tcBorders>
            <w:vAlign w:val="center"/>
          </w:tcPr>
          <w:p w14:paraId="0B3677E8">
            <w:pPr>
              <w:widowControl/>
              <w:adjustRightInd/>
              <w:spacing w:line="240" w:lineRule="auto"/>
              <w:jc w:val="center"/>
              <w:textAlignment w:val="auto"/>
              <w:rPr>
                <w:rFonts w:hint="eastAsia" w:ascii="宋体" w:hAnsi="宋体" w:cs="宋体"/>
                <w:color w:val="000000"/>
                <w:szCs w:val="24"/>
              </w:rPr>
            </w:pPr>
            <w:r>
              <w:rPr>
                <w:rFonts w:hint="eastAsia" w:ascii="宋体" w:hAnsi="宋体" w:cs="宋体"/>
                <w:color w:val="000000"/>
                <w:szCs w:val="24"/>
              </w:rPr>
              <w:t>台</w:t>
            </w:r>
          </w:p>
        </w:tc>
        <w:tc>
          <w:tcPr>
            <w:tcW w:w="1656" w:type="dxa"/>
            <w:tcBorders>
              <w:top w:val="single" w:color="000000" w:sz="4" w:space="0"/>
              <w:left w:val="single" w:color="000000" w:sz="4" w:space="0"/>
              <w:bottom w:val="single" w:color="000000" w:sz="4" w:space="0"/>
              <w:right w:val="single" w:color="000000" w:sz="4" w:space="0"/>
            </w:tcBorders>
            <w:vAlign w:val="center"/>
          </w:tcPr>
          <w:p w14:paraId="43A2BB60">
            <w:pPr>
              <w:widowControl/>
              <w:adjustRightInd/>
              <w:spacing w:line="240" w:lineRule="auto"/>
              <w:jc w:val="center"/>
              <w:textAlignment w:val="auto"/>
              <w:rPr>
                <w:rFonts w:hint="eastAsia" w:ascii="宋体" w:hAnsi="宋体" w:cs="宋体"/>
                <w:color w:val="000000"/>
                <w:szCs w:val="24"/>
              </w:rPr>
            </w:pPr>
            <w:r>
              <w:rPr>
                <w:rFonts w:hint="eastAsia" w:ascii="宋体" w:hAnsi="宋体" w:cs="宋体"/>
                <w:color w:val="000000"/>
                <w:szCs w:val="24"/>
              </w:rPr>
              <w:t>2200X800X600 (H*W*D)</w:t>
            </w:r>
          </w:p>
        </w:tc>
        <w:tc>
          <w:tcPr>
            <w:tcW w:w="1135" w:type="dxa"/>
            <w:tcBorders>
              <w:top w:val="single" w:color="000000" w:sz="4" w:space="0"/>
              <w:left w:val="single" w:color="000000" w:sz="4" w:space="0"/>
              <w:bottom w:val="single" w:color="000000" w:sz="4" w:space="0"/>
              <w:right w:val="single" w:color="000000" w:sz="4" w:space="0"/>
            </w:tcBorders>
            <w:vAlign w:val="center"/>
          </w:tcPr>
          <w:p w14:paraId="54FB1F46">
            <w:pPr>
              <w:widowControl/>
              <w:adjustRightInd/>
              <w:spacing w:line="240" w:lineRule="auto"/>
              <w:jc w:val="center"/>
              <w:textAlignment w:val="auto"/>
              <w:rPr>
                <w:rFonts w:hint="eastAsia" w:ascii="宋体" w:hAnsi="宋体" w:cs="宋体"/>
                <w:color w:val="000000"/>
                <w:szCs w:val="24"/>
              </w:rPr>
            </w:pPr>
          </w:p>
        </w:tc>
        <w:tc>
          <w:tcPr>
            <w:tcW w:w="1701" w:type="dxa"/>
            <w:tcBorders>
              <w:top w:val="single" w:color="000000" w:sz="4" w:space="0"/>
              <w:left w:val="single" w:color="000000" w:sz="4" w:space="0"/>
              <w:bottom w:val="single" w:color="000000" w:sz="4" w:space="0"/>
              <w:right w:val="single" w:color="000000" w:sz="4" w:space="0"/>
            </w:tcBorders>
            <w:vAlign w:val="center"/>
          </w:tcPr>
          <w:p w14:paraId="40EBB29F">
            <w:pPr>
              <w:widowControl/>
              <w:adjustRightInd/>
              <w:spacing w:line="240" w:lineRule="auto"/>
              <w:jc w:val="center"/>
              <w:textAlignment w:val="auto"/>
              <w:rPr>
                <w:rFonts w:eastAsia="Times New Roman"/>
                <w:sz w:val="20"/>
              </w:rPr>
            </w:pPr>
          </w:p>
        </w:tc>
      </w:tr>
      <w:tr w14:paraId="7C8336DF">
        <w:tblPrEx>
          <w:tblCellMar>
            <w:top w:w="0" w:type="dxa"/>
            <w:left w:w="108" w:type="dxa"/>
            <w:bottom w:w="0" w:type="dxa"/>
            <w:right w:w="108" w:type="dxa"/>
          </w:tblCellMar>
        </w:tblPrEx>
        <w:trPr>
          <w:trHeight w:val="285" w:hRule="atLeast"/>
        </w:trPr>
        <w:tc>
          <w:tcPr>
            <w:tcW w:w="739" w:type="dxa"/>
            <w:tcBorders>
              <w:top w:val="single" w:color="000000" w:sz="4" w:space="0"/>
              <w:left w:val="single" w:color="000000" w:sz="4" w:space="0"/>
              <w:bottom w:val="single" w:color="000000" w:sz="4" w:space="0"/>
              <w:right w:val="single" w:color="000000" w:sz="4" w:space="0"/>
            </w:tcBorders>
            <w:vAlign w:val="center"/>
          </w:tcPr>
          <w:p w14:paraId="31950C84">
            <w:pPr>
              <w:widowControl/>
              <w:adjustRightInd/>
              <w:spacing w:line="240" w:lineRule="auto"/>
              <w:jc w:val="center"/>
              <w:textAlignment w:val="auto"/>
              <w:rPr>
                <w:rFonts w:hint="eastAsia" w:ascii="宋体" w:hAnsi="宋体" w:cs="宋体"/>
                <w:color w:val="000000"/>
                <w:szCs w:val="24"/>
              </w:rPr>
            </w:pPr>
            <w:r>
              <w:rPr>
                <w:rFonts w:hint="eastAsia" w:ascii="宋体" w:hAnsi="宋体" w:cs="宋体"/>
                <w:color w:val="000000"/>
                <w:szCs w:val="24"/>
              </w:rPr>
              <w:t>6</w:t>
            </w:r>
          </w:p>
        </w:tc>
        <w:tc>
          <w:tcPr>
            <w:tcW w:w="1611" w:type="dxa"/>
            <w:tcBorders>
              <w:top w:val="single" w:color="000000" w:sz="4" w:space="0"/>
              <w:left w:val="single" w:color="000000" w:sz="4" w:space="0"/>
              <w:bottom w:val="single" w:color="000000" w:sz="4" w:space="0"/>
              <w:right w:val="single" w:color="000000" w:sz="4" w:space="0"/>
            </w:tcBorders>
            <w:vAlign w:val="center"/>
          </w:tcPr>
          <w:p w14:paraId="3E0DF8D9">
            <w:pPr>
              <w:widowControl/>
              <w:adjustRightInd/>
              <w:spacing w:line="240" w:lineRule="auto"/>
              <w:jc w:val="center"/>
              <w:textAlignment w:val="auto"/>
              <w:rPr>
                <w:rFonts w:hint="eastAsia" w:ascii="宋体" w:hAnsi="宋体" w:cs="宋体"/>
                <w:color w:val="000000"/>
                <w:szCs w:val="24"/>
              </w:rPr>
            </w:pPr>
            <w:r>
              <w:rPr>
                <w:rFonts w:hint="eastAsia" w:ascii="宋体" w:hAnsi="宋体" w:cs="宋体"/>
                <w:color w:val="000000"/>
                <w:szCs w:val="24"/>
              </w:rPr>
              <w:t>交换机</w:t>
            </w:r>
          </w:p>
        </w:tc>
        <w:tc>
          <w:tcPr>
            <w:tcW w:w="1194" w:type="dxa"/>
            <w:tcBorders>
              <w:top w:val="single" w:color="000000" w:sz="4" w:space="0"/>
              <w:left w:val="single" w:color="000000" w:sz="4" w:space="0"/>
              <w:bottom w:val="single" w:color="000000" w:sz="4" w:space="0"/>
              <w:right w:val="single" w:color="000000" w:sz="4" w:space="0"/>
            </w:tcBorders>
            <w:vAlign w:val="center"/>
          </w:tcPr>
          <w:p w14:paraId="39106EF4">
            <w:pPr>
              <w:widowControl/>
              <w:adjustRightInd/>
              <w:spacing w:line="240" w:lineRule="auto"/>
              <w:jc w:val="center"/>
              <w:textAlignment w:val="auto"/>
              <w:rPr>
                <w:rFonts w:hint="eastAsia" w:ascii="宋体" w:hAnsi="宋体" w:cs="宋体"/>
                <w:color w:val="000000"/>
                <w:szCs w:val="24"/>
              </w:rPr>
            </w:pPr>
            <w:r>
              <w:rPr>
                <w:rFonts w:hint="eastAsia" w:ascii="宋体" w:hAnsi="宋体" w:cs="宋体"/>
                <w:color w:val="000000"/>
                <w:szCs w:val="24"/>
              </w:rPr>
              <w:t>1</w:t>
            </w:r>
          </w:p>
        </w:tc>
        <w:tc>
          <w:tcPr>
            <w:tcW w:w="753" w:type="dxa"/>
            <w:tcBorders>
              <w:top w:val="single" w:color="000000" w:sz="4" w:space="0"/>
              <w:left w:val="single" w:color="000000" w:sz="4" w:space="0"/>
              <w:bottom w:val="single" w:color="000000" w:sz="4" w:space="0"/>
              <w:right w:val="single" w:color="000000" w:sz="4" w:space="0"/>
            </w:tcBorders>
            <w:vAlign w:val="center"/>
          </w:tcPr>
          <w:p w14:paraId="467D637A">
            <w:pPr>
              <w:widowControl/>
              <w:adjustRightInd/>
              <w:spacing w:line="240" w:lineRule="auto"/>
              <w:jc w:val="center"/>
              <w:textAlignment w:val="auto"/>
              <w:rPr>
                <w:rFonts w:hint="eastAsia" w:ascii="宋体" w:hAnsi="宋体" w:cs="宋体"/>
                <w:color w:val="000000"/>
                <w:szCs w:val="24"/>
              </w:rPr>
            </w:pPr>
            <w:r>
              <w:rPr>
                <w:rFonts w:hint="eastAsia" w:ascii="宋体" w:hAnsi="宋体" w:cs="宋体"/>
                <w:color w:val="000000"/>
                <w:szCs w:val="24"/>
              </w:rPr>
              <w:t>台</w:t>
            </w:r>
          </w:p>
        </w:tc>
        <w:tc>
          <w:tcPr>
            <w:tcW w:w="1656" w:type="dxa"/>
            <w:tcBorders>
              <w:top w:val="single" w:color="000000" w:sz="4" w:space="0"/>
              <w:left w:val="single" w:color="000000" w:sz="4" w:space="0"/>
              <w:bottom w:val="single" w:color="000000" w:sz="4" w:space="0"/>
              <w:right w:val="single" w:color="000000" w:sz="4" w:space="0"/>
            </w:tcBorders>
            <w:noWrap/>
            <w:vAlign w:val="center"/>
          </w:tcPr>
          <w:p w14:paraId="535E1B2E">
            <w:pPr>
              <w:widowControl/>
              <w:adjustRightInd/>
              <w:spacing w:line="240" w:lineRule="auto"/>
              <w:jc w:val="center"/>
              <w:textAlignment w:val="auto"/>
              <w:rPr>
                <w:rFonts w:hint="eastAsia" w:ascii="宋体" w:hAnsi="宋体" w:cs="宋体"/>
                <w:color w:val="000000"/>
                <w:szCs w:val="24"/>
              </w:rPr>
            </w:pPr>
          </w:p>
        </w:tc>
        <w:tc>
          <w:tcPr>
            <w:tcW w:w="1135" w:type="dxa"/>
            <w:tcBorders>
              <w:top w:val="single" w:color="000000" w:sz="4" w:space="0"/>
              <w:left w:val="single" w:color="000000" w:sz="4" w:space="0"/>
              <w:bottom w:val="single" w:color="000000" w:sz="4" w:space="0"/>
              <w:right w:val="single" w:color="000000" w:sz="4" w:space="0"/>
            </w:tcBorders>
            <w:vAlign w:val="center"/>
          </w:tcPr>
          <w:p w14:paraId="5C45A813">
            <w:pPr>
              <w:widowControl/>
              <w:adjustRightInd/>
              <w:spacing w:line="240" w:lineRule="auto"/>
              <w:textAlignment w:val="auto"/>
              <w:rPr>
                <w:rFonts w:eastAsia="Times New Roman"/>
                <w:sz w:val="20"/>
              </w:rPr>
            </w:pPr>
          </w:p>
        </w:tc>
        <w:tc>
          <w:tcPr>
            <w:tcW w:w="1701" w:type="dxa"/>
            <w:tcBorders>
              <w:top w:val="single" w:color="000000" w:sz="4" w:space="0"/>
              <w:left w:val="single" w:color="000000" w:sz="4" w:space="0"/>
              <w:bottom w:val="single" w:color="000000" w:sz="4" w:space="0"/>
              <w:right w:val="single" w:color="000000" w:sz="4" w:space="0"/>
            </w:tcBorders>
            <w:vAlign w:val="center"/>
          </w:tcPr>
          <w:p w14:paraId="774DBE1C">
            <w:pPr>
              <w:widowControl/>
              <w:adjustRightInd/>
              <w:spacing w:line="240" w:lineRule="auto"/>
              <w:jc w:val="center"/>
              <w:textAlignment w:val="auto"/>
              <w:rPr>
                <w:rFonts w:eastAsia="Times New Roman"/>
                <w:sz w:val="20"/>
              </w:rPr>
            </w:pPr>
          </w:p>
        </w:tc>
      </w:tr>
      <w:tr w14:paraId="0FB10234">
        <w:tblPrEx>
          <w:tblCellMar>
            <w:top w:w="0" w:type="dxa"/>
            <w:left w:w="108" w:type="dxa"/>
            <w:bottom w:w="0" w:type="dxa"/>
            <w:right w:w="108" w:type="dxa"/>
          </w:tblCellMar>
        </w:tblPrEx>
        <w:trPr>
          <w:trHeight w:val="315" w:hRule="atLeast"/>
        </w:trPr>
        <w:tc>
          <w:tcPr>
            <w:tcW w:w="739" w:type="dxa"/>
            <w:tcBorders>
              <w:top w:val="single" w:color="000000" w:sz="4" w:space="0"/>
              <w:left w:val="single" w:color="000000" w:sz="4" w:space="0"/>
              <w:bottom w:val="single" w:color="000000" w:sz="4" w:space="0"/>
              <w:right w:val="single" w:color="000000" w:sz="4" w:space="0"/>
            </w:tcBorders>
            <w:vAlign w:val="center"/>
          </w:tcPr>
          <w:p w14:paraId="50DD0F35">
            <w:pPr>
              <w:widowControl/>
              <w:adjustRightInd/>
              <w:spacing w:line="240" w:lineRule="auto"/>
              <w:jc w:val="center"/>
              <w:textAlignment w:val="auto"/>
              <w:rPr>
                <w:rFonts w:hint="eastAsia" w:ascii="宋体" w:hAnsi="宋体" w:cs="宋体"/>
                <w:color w:val="000000"/>
                <w:szCs w:val="24"/>
              </w:rPr>
            </w:pPr>
            <w:r>
              <w:rPr>
                <w:rFonts w:hint="eastAsia" w:ascii="宋体" w:hAnsi="宋体" w:cs="宋体"/>
                <w:color w:val="000000"/>
                <w:szCs w:val="24"/>
              </w:rPr>
              <w:t>7</w:t>
            </w:r>
          </w:p>
        </w:tc>
        <w:tc>
          <w:tcPr>
            <w:tcW w:w="1611" w:type="dxa"/>
            <w:tcBorders>
              <w:top w:val="single" w:color="000000" w:sz="4" w:space="0"/>
              <w:left w:val="single" w:color="000000" w:sz="4" w:space="0"/>
              <w:bottom w:val="single" w:color="000000" w:sz="4" w:space="0"/>
              <w:right w:val="single" w:color="000000" w:sz="4" w:space="0"/>
            </w:tcBorders>
            <w:vAlign w:val="center"/>
          </w:tcPr>
          <w:p w14:paraId="4B9D4A61">
            <w:pPr>
              <w:widowControl/>
              <w:adjustRightInd/>
              <w:spacing w:line="240" w:lineRule="auto"/>
              <w:jc w:val="center"/>
              <w:textAlignment w:val="auto"/>
              <w:rPr>
                <w:rFonts w:hint="eastAsia" w:ascii="宋体" w:hAnsi="宋体" w:cs="宋体"/>
                <w:color w:val="000000"/>
                <w:szCs w:val="24"/>
              </w:rPr>
            </w:pPr>
            <w:r>
              <w:rPr>
                <w:rFonts w:hint="eastAsia" w:ascii="宋体" w:hAnsi="宋体" w:cs="宋体"/>
                <w:color w:val="000000"/>
                <w:szCs w:val="24"/>
              </w:rPr>
              <w:t>配电箱</w:t>
            </w:r>
          </w:p>
        </w:tc>
        <w:tc>
          <w:tcPr>
            <w:tcW w:w="1194" w:type="dxa"/>
            <w:tcBorders>
              <w:top w:val="single" w:color="000000" w:sz="4" w:space="0"/>
              <w:left w:val="single" w:color="000000" w:sz="4" w:space="0"/>
              <w:bottom w:val="single" w:color="000000" w:sz="4" w:space="0"/>
              <w:right w:val="single" w:color="000000" w:sz="4" w:space="0"/>
            </w:tcBorders>
            <w:vAlign w:val="center"/>
          </w:tcPr>
          <w:p w14:paraId="6C3B5B2E">
            <w:pPr>
              <w:widowControl/>
              <w:adjustRightInd/>
              <w:spacing w:line="240" w:lineRule="auto"/>
              <w:jc w:val="center"/>
              <w:textAlignment w:val="auto"/>
              <w:rPr>
                <w:rFonts w:hint="eastAsia" w:ascii="宋体" w:hAnsi="宋体" w:cs="宋体"/>
                <w:color w:val="000000"/>
                <w:szCs w:val="24"/>
              </w:rPr>
            </w:pPr>
            <w:r>
              <w:rPr>
                <w:rFonts w:hint="eastAsia" w:ascii="宋体" w:hAnsi="宋体" w:cs="宋体"/>
                <w:color w:val="000000"/>
                <w:szCs w:val="24"/>
              </w:rPr>
              <w:t>1</w:t>
            </w:r>
          </w:p>
        </w:tc>
        <w:tc>
          <w:tcPr>
            <w:tcW w:w="753" w:type="dxa"/>
            <w:tcBorders>
              <w:top w:val="single" w:color="000000" w:sz="4" w:space="0"/>
              <w:left w:val="single" w:color="000000" w:sz="4" w:space="0"/>
              <w:bottom w:val="single" w:color="000000" w:sz="4" w:space="0"/>
              <w:right w:val="single" w:color="000000" w:sz="4" w:space="0"/>
            </w:tcBorders>
            <w:vAlign w:val="center"/>
          </w:tcPr>
          <w:p w14:paraId="3C25DBC9">
            <w:pPr>
              <w:widowControl/>
              <w:adjustRightInd/>
              <w:spacing w:line="240" w:lineRule="auto"/>
              <w:jc w:val="center"/>
              <w:textAlignment w:val="auto"/>
              <w:rPr>
                <w:rFonts w:hint="eastAsia" w:ascii="宋体" w:hAnsi="宋体" w:cs="宋体"/>
                <w:color w:val="000000"/>
                <w:szCs w:val="24"/>
              </w:rPr>
            </w:pPr>
            <w:r>
              <w:rPr>
                <w:rFonts w:hint="eastAsia" w:ascii="宋体" w:hAnsi="宋体" w:cs="宋体"/>
                <w:color w:val="000000"/>
                <w:szCs w:val="24"/>
              </w:rPr>
              <w:t>台</w:t>
            </w:r>
          </w:p>
        </w:tc>
        <w:tc>
          <w:tcPr>
            <w:tcW w:w="1656" w:type="dxa"/>
            <w:tcBorders>
              <w:top w:val="single" w:color="000000" w:sz="4" w:space="0"/>
              <w:left w:val="single" w:color="000000" w:sz="4" w:space="0"/>
              <w:bottom w:val="single" w:color="000000" w:sz="4" w:space="0"/>
              <w:right w:val="single" w:color="000000" w:sz="4" w:space="0"/>
            </w:tcBorders>
            <w:vAlign w:val="center"/>
          </w:tcPr>
          <w:p w14:paraId="136D9367">
            <w:pPr>
              <w:widowControl/>
              <w:adjustRightInd/>
              <w:spacing w:line="240" w:lineRule="auto"/>
              <w:jc w:val="center"/>
              <w:textAlignment w:val="auto"/>
              <w:rPr>
                <w:rFonts w:hint="eastAsia" w:ascii="宋体" w:hAnsi="宋体" w:cs="宋体"/>
                <w:color w:val="000000"/>
                <w:szCs w:val="24"/>
              </w:rPr>
            </w:pPr>
          </w:p>
        </w:tc>
        <w:tc>
          <w:tcPr>
            <w:tcW w:w="1135" w:type="dxa"/>
            <w:tcBorders>
              <w:top w:val="single" w:color="000000" w:sz="4" w:space="0"/>
              <w:left w:val="single" w:color="000000" w:sz="4" w:space="0"/>
              <w:bottom w:val="single" w:color="000000" w:sz="4" w:space="0"/>
              <w:right w:val="single" w:color="000000" w:sz="4" w:space="0"/>
            </w:tcBorders>
            <w:vAlign w:val="center"/>
          </w:tcPr>
          <w:p w14:paraId="6DBC80AD">
            <w:pPr>
              <w:widowControl/>
              <w:adjustRightInd/>
              <w:spacing w:line="240" w:lineRule="auto"/>
              <w:jc w:val="center"/>
              <w:textAlignment w:val="auto"/>
              <w:rPr>
                <w:rFonts w:eastAsia="Times New Roman"/>
                <w:sz w:val="20"/>
              </w:rPr>
            </w:pPr>
          </w:p>
        </w:tc>
        <w:tc>
          <w:tcPr>
            <w:tcW w:w="1701" w:type="dxa"/>
            <w:tcBorders>
              <w:top w:val="single" w:color="000000" w:sz="4" w:space="0"/>
              <w:left w:val="single" w:color="000000" w:sz="4" w:space="0"/>
              <w:bottom w:val="single" w:color="000000" w:sz="4" w:space="0"/>
              <w:right w:val="single" w:color="000000" w:sz="4" w:space="0"/>
            </w:tcBorders>
            <w:vAlign w:val="center"/>
          </w:tcPr>
          <w:p w14:paraId="73A157C4">
            <w:pPr>
              <w:widowControl/>
              <w:adjustRightInd/>
              <w:spacing w:line="240" w:lineRule="auto"/>
              <w:jc w:val="center"/>
              <w:textAlignment w:val="auto"/>
              <w:rPr>
                <w:rFonts w:hint="eastAsia" w:ascii="宋体" w:hAnsi="宋体" w:cs="宋体"/>
                <w:color w:val="000000"/>
                <w:szCs w:val="24"/>
              </w:rPr>
            </w:pPr>
            <w:r>
              <w:rPr>
                <w:rFonts w:hint="eastAsia" w:ascii="宋体" w:hAnsi="宋体" w:cs="宋体"/>
                <w:color w:val="000000"/>
                <w:szCs w:val="24"/>
              </w:rPr>
              <w:t>配漏保、空开，带双电源切换装置，嵌入式配电箱</w:t>
            </w:r>
          </w:p>
        </w:tc>
      </w:tr>
      <w:tr w14:paraId="00822F4E">
        <w:tblPrEx>
          <w:tblCellMar>
            <w:top w:w="0" w:type="dxa"/>
            <w:left w:w="108" w:type="dxa"/>
            <w:bottom w:w="0" w:type="dxa"/>
            <w:right w:w="108" w:type="dxa"/>
          </w:tblCellMar>
        </w:tblPrEx>
        <w:trPr>
          <w:trHeight w:val="315" w:hRule="atLeast"/>
        </w:trPr>
        <w:tc>
          <w:tcPr>
            <w:tcW w:w="739" w:type="dxa"/>
            <w:tcBorders>
              <w:top w:val="single" w:color="000000" w:sz="4" w:space="0"/>
              <w:left w:val="single" w:color="000000" w:sz="4" w:space="0"/>
              <w:bottom w:val="single" w:color="000000" w:sz="4" w:space="0"/>
              <w:right w:val="single" w:color="000000" w:sz="4" w:space="0"/>
            </w:tcBorders>
            <w:vAlign w:val="center"/>
          </w:tcPr>
          <w:p w14:paraId="14AE2C15">
            <w:pPr>
              <w:widowControl/>
              <w:adjustRightInd/>
              <w:spacing w:line="240" w:lineRule="auto"/>
              <w:jc w:val="center"/>
              <w:textAlignment w:val="auto"/>
              <w:rPr>
                <w:rFonts w:hint="eastAsia" w:ascii="宋体" w:hAnsi="宋体" w:cs="宋体"/>
                <w:color w:val="000000"/>
                <w:szCs w:val="24"/>
              </w:rPr>
            </w:pPr>
            <w:r>
              <w:rPr>
                <w:rFonts w:hint="eastAsia" w:ascii="宋体" w:hAnsi="宋体" w:cs="宋体"/>
                <w:color w:val="000000"/>
                <w:szCs w:val="24"/>
              </w:rPr>
              <w:t>8</w:t>
            </w:r>
          </w:p>
        </w:tc>
        <w:tc>
          <w:tcPr>
            <w:tcW w:w="1611" w:type="dxa"/>
            <w:tcBorders>
              <w:top w:val="single" w:color="000000" w:sz="4" w:space="0"/>
              <w:left w:val="single" w:color="000000" w:sz="4" w:space="0"/>
              <w:bottom w:val="single" w:color="000000" w:sz="4" w:space="0"/>
              <w:right w:val="single" w:color="000000" w:sz="4" w:space="0"/>
            </w:tcBorders>
            <w:vAlign w:val="center"/>
          </w:tcPr>
          <w:p w14:paraId="78DDD507">
            <w:pPr>
              <w:widowControl/>
              <w:adjustRightInd/>
              <w:spacing w:line="240" w:lineRule="auto"/>
              <w:jc w:val="center"/>
              <w:textAlignment w:val="auto"/>
              <w:rPr>
                <w:rFonts w:hint="eastAsia" w:ascii="宋体" w:hAnsi="宋体" w:cs="宋体"/>
                <w:color w:val="000000"/>
                <w:szCs w:val="24"/>
              </w:rPr>
            </w:pPr>
            <w:r>
              <w:rPr>
                <w:rFonts w:hint="eastAsia" w:ascii="宋体" w:hAnsi="宋体" w:cs="宋体"/>
                <w:color w:val="000000"/>
                <w:szCs w:val="24"/>
              </w:rPr>
              <w:t>线缆等辅材</w:t>
            </w:r>
          </w:p>
        </w:tc>
        <w:tc>
          <w:tcPr>
            <w:tcW w:w="1194" w:type="dxa"/>
            <w:tcBorders>
              <w:top w:val="single" w:color="000000" w:sz="4" w:space="0"/>
              <w:left w:val="single" w:color="000000" w:sz="4" w:space="0"/>
              <w:bottom w:val="single" w:color="000000" w:sz="4" w:space="0"/>
              <w:right w:val="single" w:color="000000" w:sz="4" w:space="0"/>
            </w:tcBorders>
            <w:vAlign w:val="center"/>
          </w:tcPr>
          <w:p w14:paraId="71425E9B">
            <w:pPr>
              <w:widowControl/>
              <w:adjustRightInd/>
              <w:spacing w:line="240" w:lineRule="auto"/>
              <w:jc w:val="center"/>
              <w:textAlignment w:val="auto"/>
              <w:rPr>
                <w:rFonts w:hint="eastAsia" w:ascii="宋体" w:hAnsi="宋体" w:cs="宋体"/>
                <w:color w:val="000000"/>
                <w:szCs w:val="24"/>
              </w:rPr>
            </w:pPr>
            <w:r>
              <w:rPr>
                <w:rFonts w:hint="eastAsia" w:ascii="宋体" w:hAnsi="宋体" w:cs="宋体"/>
                <w:color w:val="000000"/>
                <w:szCs w:val="24"/>
              </w:rPr>
              <w:t>1</w:t>
            </w:r>
          </w:p>
        </w:tc>
        <w:tc>
          <w:tcPr>
            <w:tcW w:w="753" w:type="dxa"/>
            <w:tcBorders>
              <w:top w:val="single" w:color="000000" w:sz="4" w:space="0"/>
              <w:left w:val="single" w:color="000000" w:sz="4" w:space="0"/>
              <w:bottom w:val="single" w:color="000000" w:sz="4" w:space="0"/>
              <w:right w:val="single" w:color="000000" w:sz="4" w:space="0"/>
            </w:tcBorders>
            <w:vAlign w:val="center"/>
          </w:tcPr>
          <w:p w14:paraId="1A346443">
            <w:pPr>
              <w:widowControl/>
              <w:adjustRightInd/>
              <w:spacing w:line="240" w:lineRule="auto"/>
              <w:jc w:val="center"/>
              <w:textAlignment w:val="auto"/>
              <w:rPr>
                <w:rFonts w:hint="eastAsia" w:ascii="宋体" w:hAnsi="宋体" w:cs="宋体"/>
                <w:color w:val="000000"/>
                <w:szCs w:val="24"/>
              </w:rPr>
            </w:pPr>
            <w:r>
              <w:rPr>
                <w:rFonts w:hint="eastAsia" w:ascii="宋体" w:hAnsi="宋体" w:cs="宋体"/>
                <w:color w:val="000000"/>
                <w:szCs w:val="24"/>
              </w:rPr>
              <w:t>套</w:t>
            </w:r>
          </w:p>
        </w:tc>
        <w:tc>
          <w:tcPr>
            <w:tcW w:w="1656" w:type="dxa"/>
            <w:tcBorders>
              <w:top w:val="single" w:color="000000" w:sz="4" w:space="0"/>
              <w:left w:val="single" w:color="000000" w:sz="4" w:space="0"/>
              <w:bottom w:val="single" w:color="000000" w:sz="4" w:space="0"/>
              <w:right w:val="single" w:color="000000" w:sz="4" w:space="0"/>
            </w:tcBorders>
            <w:vAlign w:val="center"/>
          </w:tcPr>
          <w:p w14:paraId="66F70CDE">
            <w:pPr>
              <w:widowControl/>
              <w:adjustRightInd/>
              <w:spacing w:line="240" w:lineRule="auto"/>
              <w:jc w:val="center"/>
              <w:textAlignment w:val="auto"/>
              <w:rPr>
                <w:rFonts w:hint="eastAsia" w:ascii="宋体" w:hAnsi="宋体" w:cs="宋体"/>
                <w:color w:val="000000"/>
                <w:szCs w:val="24"/>
              </w:rPr>
            </w:pPr>
          </w:p>
        </w:tc>
        <w:tc>
          <w:tcPr>
            <w:tcW w:w="1135" w:type="dxa"/>
            <w:tcBorders>
              <w:top w:val="single" w:color="000000" w:sz="4" w:space="0"/>
              <w:left w:val="single" w:color="000000" w:sz="4" w:space="0"/>
              <w:bottom w:val="single" w:color="000000" w:sz="4" w:space="0"/>
              <w:right w:val="single" w:color="000000" w:sz="4" w:space="0"/>
            </w:tcBorders>
            <w:vAlign w:val="center"/>
          </w:tcPr>
          <w:p w14:paraId="2EB59922">
            <w:pPr>
              <w:widowControl/>
              <w:adjustRightInd/>
              <w:spacing w:line="240" w:lineRule="auto"/>
              <w:jc w:val="center"/>
              <w:textAlignment w:val="auto"/>
              <w:rPr>
                <w:rFonts w:eastAsia="Times New Roman"/>
                <w:sz w:val="20"/>
              </w:rPr>
            </w:pPr>
          </w:p>
        </w:tc>
        <w:tc>
          <w:tcPr>
            <w:tcW w:w="1701" w:type="dxa"/>
            <w:tcBorders>
              <w:top w:val="single" w:color="000000" w:sz="4" w:space="0"/>
              <w:left w:val="single" w:color="000000" w:sz="4" w:space="0"/>
              <w:bottom w:val="single" w:color="000000" w:sz="4" w:space="0"/>
              <w:right w:val="single" w:color="000000" w:sz="4" w:space="0"/>
            </w:tcBorders>
            <w:vAlign w:val="center"/>
          </w:tcPr>
          <w:p w14:paraId="07C08A31">
            <w:pPr>
              <w:widowControl/>
              <w:adjustRightInd/>
              <w:spacing w:line="240" w:lineRule="auto"/>
              <w:jc w:val="center"/>
              <w:textAlignment w:val="auto"/>
              <w:rPr>
                <w:rFonts w:hint="eastAsia" w:ascii="宋体" w:hAnsi="宋体" w:cs="宋体"/>
                <w:color w:val="000000"/>
                <w:szCs w:val="24"/>
              </w:rPr>
            </w:pPr>
            <w:r>
              <w:rPr>
                <w:rFonts w:hint="eastAsia" w:ascii="宋体" w:hAnsi="宋体" w:cs="宋体"/>
                <w:color w:val="000000"/>
                <w:szCs w:val="24"/>
              </w:rPr>
              <w:t>通讯线、电源线等</w:t>
            </w:r>
          </w:p>
        </w:tc>
      </w:tr>
      <w:tr w14:paraId="67EAF0B1">
        <w:tblPrEx>
          <w:tblCellMar>
            <w:top w:w="0" w:type="dxa"/>
            <w:left w:w="108" w:type="dxa"/>
            <w:bottom w:w="0" w:type="dxa"/>
            <w:right w:w="108" w:type="dxa"/>
          </w:tblCellMar>
        </w:tblPrEx>
        <w:trPr>
          <w:trHeight w:val="373" w:hRule="atLeast"/>
        </w:trPr>
        <w:tc>
          <w:tcPr>
            <w:tcW w:w="739" w:type="dxa"/>
            <w:tcBorders>
              <w:top w:val="single" w:color="000000" w:sz="4" w:space="0"/>
              <w:left w:val="single" w:color="000000" w:sz="4" w:space="0"/>
              <w:bottom w:val="single" w:color="000000" w:sz="4" w:space="0"/>
              <w:right w:val="single" w:color="000000" w:sz="4" w:space="0"/>
            </w:tcBorders>
            <w:vAlign w:val="center"/>
          </w:tcPr>
          <w:p w14:paraId="1D5D6AFA">
            <w:pPr>
              <w:widowControl/>
              <w:adjustRightInd/>
              <w:spacing w:line="240" w:lineRule="auto"/>
              <w:jc w:val="center"/>
              <w:textAlignment w:val="auto"/>
              <w:rPr>
                <w:rFonts w:hint="eastAsia" w:ascii="宋体" w:hAnsi="宋体" w:cs="宋体"/>
                <w:color w:val="000000"/>
                <w:szCs w:val="24"/>
              </w:rPr>
            </w:pPr>
            <w:r>
              <w:rPr>
                <w:rFonts w:hint="eastAsia" w:ascii="宋体" w:hAnsi="宋体" w:cs="宋体"/>
                <w:color w:val="000000"/>
                <w:szCs w:val="24"/>
              </w:rPr>
              <w:t>9</w:t>
            </w:r>
          </w:p>
        </w:tc>
        <w:tc>
          <w:tcPr>
            <w:tcW w:w="1611" w:type="dxa"/>
            <w:tcBorders>
              <w:top w:val="single" w:color="000000" w:sz="4" w:space="0"/>
              <w:left w:val="single" w:color="000000" w:sz="4" w:space="0"/>
              <w:bottom w:val="single" w:color="000000" w:sz="4" w:space="0"/>
              <w:right w:val="single" w:color="000000" w:sz="4" w:space="0"/>
            </w:tcBorders>
            <w:vAlign w:val="center"/>
          </w:tcPr>
          <w:p w14:paraId="23DDAFAC">
            <w:pPr>
              <w:widowControl/>
              <w:adjustRightInd/>
              <w:spacing w:line="240" w:lineRule="auto"/>
              <w:jc w:val="center"/>
              <w:textAlignment w:val="auto"/>
              <w:rPr>
                <w:rFonts w:hint="eastAsia" w:ascii="宋体" w:hAnsi="宋体" w:cs="宋体"/>
                <w:color w:val="000000"/>
                <w:szCs w:val="24"/>
              </w:rPr>
            </w:pPr>
            <w:r>
              <w:rPr>
                <w:rFonts w:hint="eastAsia" w:ascii="宋体" w:hAnsi="宋体" w:cs="宋体"/>
                <w:color w:val="000000"/>
                <w:szCs w:val="24"/>
              </w:rPr>
              <w:t>端子排</w:t>
            </w:r>
          </w:p>
        </w:tc>
        <w:tc>
          <w:tcPr>
            <w:tcW w:w="1194" w:type="dxa"/>
            <w:tcBorders>
              <w:top w:val="single" w:color="000000" w:sz="4" w:space="0"/>
              <w:left w:val="single" w:color="000000" w:sz="4" w:space="0"/>
              <w:bottom w:val="single" w:color="000000" w:sz="4" w:space="0"/>
              <w:right w:val="single" w:color="000000" w:sz="4" w:space="0"/>
            </w:tcBorders>
            <w:vAlign w:val="center"/>
          </w:tcPr>
          <w:p w14:paraId="0AA916F7">
            <w:pPr>
              <w:widowControl/>
              <w:adjustRightInd/>
              <w:spacing w:line="240" w:lineRule="auto"/>
              <w:jc w:val="center"/>
              <w:textAlignment w:val="auto"/>
              <w:rPr>
                <w:rFonts w:hint="eastAsia" w:ascii="宋体" w:hAnsi="宋体" w:cs="宋体"/>
                <w:color w:val="000000"/>
                <w:szCs w:val="24"/>
              </w:rPr>
            </w:pPr>
            <w:r>
              <w:rPr>
                <w:rFonts w:hint="eastAsia" w:ascii="宋体" w:hAnsi="宋体" w:cs="宋体"/>
                <w:color w:val="000000"/>
                <w:szCs w:val="24"/>
              </w:rPr>
              <w:t>1</w:t>
            </w:r>
          </w:p>
        </w:tc>
        <w:tc>
          <w:tcPr>
            <w:tcW w:w="753" w:type="dxa"/>
            <w:tcBorders>
              <w:top w:val="single" w:color="000000" w:sz="4" w:space="0"/>
              <w:left w:val="single" w:color="000000" w:sz="4" w:space="0"/>
              <w:bottom w:val="single" w:color="000000" w:sz="4" w:space="0"/>
              <w:right w:val="single" w:color="000000" w:sz="4" w:space="0"/>
            </w:tcBorders>
            <w:vAlign w:val="center"/>
          </w:tcPr>
          <w:p w14:paraId="13E2C9C7">
            <w:pPr>
              <w:widowControl/>
              <w:adjustRightInd/>
              <w:spacing w:line="240" w:lineRule="auto"/>
              <w:jc w:val="center"/>
              <w:textAlignment w:val="auto"/>
              <w:rPr>
                <w:rFonts w:hint="eastAsia" w:ascii="宋体" w:hAnsi="宋体" w:cs="宋体"/>
                <w:color w:val="000000"/>
                <w:szCs w:val="24"/>
              </w:rPr>
            </w:pPr>
            <w:r>
              <w:rPr>
                <w:rFonts w:hint="eastAsia" w:ascii="宋体" w:hAnsi="宋体" w:cs="宋体"/>
                <w:color w:val="000000"/>
                <w:szCs w:val="24"/>
              </w:rPr>
              <w:t>套</w:t>
            </w:r>
          </w:p>
        </w:tc>
        <w:tc>
          <w:tcPr>
            <w:tcW w:w="1656" w:type="dxa"/>
            <w:tcBorders>
              <w:top w:val="single" w:color="000000" w:sz="4" w:space="0"/>
              <w:left w:val="single" w:color="000000" w:sz="4" w:space="0"/>
              <w:bottom w:val="single" w:color="000000" w:sz="4" w:space="0"/>
              <w:right w:val="single" w:color="000000" w:sz="4" w:space="0"/>
            </w:tcBorders>
            <w:vAlign w:val="center"/>
          </w:tcPr>
          <w:p w14:paraId="7E63906C">
            <w:pPr>
              <w:widowControl/>
              <w:adjustRightInd/>
              <w:spacing w:line="240" w:lineRule="auto"/>
              <w:jc w:val="center"/>
              <w:textAlignment w:val="auto"/>
              <w:rPr>
                <w:rFonts w:hint="eastAsia" w:ascii="宋体" w:hAnsi="宋体" w:cs="宋体"/>
                <w:color w:val="000000"/>
                <w:szCs w:val="24"/>
              </w:rPr>
            </w:pPr>
          </w:p>
        </w:tc>
        <w:tc>
          <w:tcPr>
            <w:tcW w:w="1135" w:type="dxa"/>
            <w:tcBorders>
              <w:top w:val="single" w:color="000000" w:sz="4" w:space="0"/>
              <w:left w:val="single" w:color="000000" w:sz="4" w:space="0"/>
              <w:bottom w:val="single" w:color="000000" w:sz="4" w:space="0"/>
              <w:right w:val="single" w:color="000000" w:sz="4" w:space="0"/>
            </w:tcBorders>
            <w:vAlign w:val="center"/>
          </w:tcPr>
          <w:p w14:paraId="4CA87F79">
            <w:pPr>
              <w:widowControl/>
              <w:adjustRightInd/>
              <w:spacing w:line="240" w:lineRule="auto"/>
              <w:jc w:val="center"/>
              <w:textAlignment w:val="auto"/>
              <w:rPr>
                <w:rFonts w:eastAsia="Times New Roman"/>
                <w:sz w:val="20"/>
              </w:rPr>
            </w:pPr>
          </w:p>
        </w:tc>
        <w:tc>
          <w:tcPr>
            <w:tcW w:w="1701" w:type="dxa"/>
            <w:tcBorders>
              <w:top w:val="single" w:color="000000" w:sz="4" w:space="0"/>
              <w:left w:val="single" w:color="000000" w:sz="4" w:space="0"/>
              <w:bottom w:val="single" w:color="000000" w:sz="4" w:space="0"/>
              <w:right w:val="single" w:color="000000" w:sz="4" w:space="0"/>
            </w:tcBorders>
            <w:vAlign w:val="center"/>
          </w:tcPr>
          <w:p w14:paraId="772F2D54">
            <w:pPr>
              <w:widowControl/>
              <w:adjustRightInd/>
              <w:spacing w:line="240" w:lineRule="auto"/>
              <w:jc w:val="center"/>
              <w:textAlignment w:val="auto"/>
              <w:rPr>
                <w:rFonts w:hint="eastAsia" w:ascii="宋体" w:hAnsi="宋体" w:cs="宋体"/>
                <w:color w:val="000000"/>
                <w:szCs w:val="24"/>
              </w:rPr>
            </w:pPr>
            <w:r>
              <w:rPr>
                <w:rFonts w:hint="eastAsia" w:ascii="宋体" w:hAnsi="宋体" w:cs="宋体"/>
                <w:color w:val="000000"/>
                <w:szCs w:val="24"/>
              </w:rPr>
              <w:t>预留</w:t>
            </w:r>
            <w:r>
              <w:rPr>
                <w:rFonts w:ascii="宋体" w:hAnsi="宋体" w:cs="宋体"/>
                <w:color w:val="000000"/>
                <w:szCs w:val="24"/>
              </w:rPr>
              <w:t>15%</w:t>
            </w:r>
          </w:p>
        </w:tc>
      </w:tr>
      <w:tr w14:paraId="656229C1">
        <w:tblPrEx>
          <w:tblCellMar>
            <w:top w:w="0" w:type="dxa"/>
            <w:left w:w="108" w:type="dxa"/>
            <w:bottom w:w="0" w:type="dxa"/>
            <w:right w:w="108" w:type="dxa"/>
          </w:tblCellMar>
        </w:tblPrEx>
        <w:trPr>
          <w:trHeight w:val="421" w:hRule="atLeast"/>
        </w:trPr>
        <w:tc>
          <w:tcPr>
            <w:tcW w:w="739" w:type="dxa"/>
            <w:tcBorders>
              <w:top w:val="single" w:color="000000" w:sz="4" w:space="0"/>
              <w:left w:val="single" w:color="000000" w:sz="4" w:space="0"/>
              <w:bottom w:val="single" w:color="000000" w:sz="4" w:space="0"/>
              <w:right w:val="single" w:color="000000" w:sz="4" w:space="0"/>
            </w:tcBorders>
            <w:vAlign w:val="center"/>
          </w:tcPr>
          <w:p w14:paraId="3B2095D6">
            <w:pPr>
              <w:widowControl/>
              <w:adjustRightInd/>
              <w:spacing w:line="240" w:lineRule="auto"/>
              <w:jc w:val="center"/>
              <w:textAlignment w:val="auto"/>
              <w:rPr>
                <w:rFonts w:hint="eastAsia" w:ascii="宋体" w:hAnsi="宋体" w:cs="宋体"/>
                <w:color w:val="000000"/>
                <w:szCs w:val="24"/>
              </w:rPr>
            </w:pPr>
            <w:r>
              <w:rPr>
                <w:rFonts w:hint="eastAsia" w:ascii="宋体" w:hAnsi="宋体" w:cs="宋体"/>
                <w:color w:val="000000"/>
                <w:szCs w:val="24"/>
              </w:rPr>
              <w:t>10</w:t>
            </w:r>
          </w:p>
        </w:tc>
        <w:tc>
          <w:tcPr>
            <w:tcW w:w="1611" w:type="dxa"/>
            <w:tcBorders>
              <w:top w:val="single" w:color="000000" w:sz="4" w:space="0"/>
              <w:left w:val="single" w:color="000000" w:sz="4" w:space="0"/>
              <w:bottom w:val="single" w:color="000000" w:sz="4" w:space="0"/>
              <w:right w:val="single" w:color="000000" w:sz="4" w:space="0"/>
            </w:tcBorders>
            <w:vAlign w:val="center"/>
          </w:tcPr>
          <w:p w14:paraId="6C20FCEB">
            <w:pPr>
              <w:widowControl/>
              <w:adjustRightInd/>
              <w:spacing w:line="240" w:lineRule="auto"/>
              <w:jc w:val="center"/>
              <w:textAlignment w:val="auto"/>
              <w:rPr>
                <w:rFonts w:hint="eastAsia" w:ascii="宋体" w:hAnsi="宋体" w:cs="宋体"/>
                <w:color w:val="000000"/>
                <w:szCs w:val="24"/>
              </w:rPr>
            </w:pPr>
            <w:r>
              <w:rPr>
                <w:rFonts w:hint="eastAsia" w:ascii="宋体" w:hAnsi="宋体" w:cs="宋体"/>
                <w:color w:val="000000"/>
                <w:szCs w:val="24"/>
              </w:rPr>
              <w:t>插线板</w:t>
            </w:r>
          </w:p>
        </w:tc>
        <w:tc>
          <w:tcPr>
            <w:tcW w:w="1194" w:type="dxa"/>
            <w:tcBorders>
              <w:top w:val="single" w:color="000000" w:sz="4" w:space="0"/>
              <w:left w:val="single" w:color="000000" w:sz="4" w:space="0"/>
              <w:bottom w:val="single" w:color="000000" w:sz="4" w:space="0"/>
              <w:right w:val="single" w:color="000000" w:sz="4" w:space="0"/>
            </w:tcBorders>
            <w:vAlign w:val="center"/>
          </w:tcPr>
          <w:p w14:paraId="4893BCD4">
            <w:pPr>
              <w:widowControl/>
              <w:adjustRightInd/>
              <w:spacing w:line="240" w:lineRule="auto"/>
              <w:jc w:val="center"/>
              <w:textAlignment w:val="auto"/>
              <w:rPr>
                <w:rFonts w:hint="eastAsia" w:ascii="宋体" w:hAnsi="宋体" w:cs="宋体"/>
                <w:color w:val="000000"/>
                <w:szCs w:val="24"/>
              </w:rPr>
            </w:pPr>
          </w:p>
        </w:tc>
        <w:tc>
          <w:tcPr>
            <w:tcW w:w="753" w:type="dxa"/>
            <w:tcBorders>
              <w:top w:val="single" w:color="000000" w:sz="4" w:space="0"/>
              <w:left w:val="single" w:color="000000" w:sz="4" w:space="0"/>
              <w:bottom w:val="single" w:color="000000" w:sz="4" w:space="0"/>
              <w:right w:val="single" w:color="000000" w:sz="4" w:space="0"/>
            </w:tcBorders>
            <w:vAlign w:val="center"/>
          </w:tcPr>
          <w:p w14:paraId="66BFFBC9">
            <w:pPr>
              <w:widowControl/>
              <w:adjustRightInd/>
              <w:spacing w:line="240" w:lineRule="auto"/>
              <w:jc w:val="center"/>
              <w:textAlignment w:val="auto"/>
              <w:rPr>
                <w:rFonts w:hint="eastAsia" w:ascii="宋体" w:hAnsi="宋体" w:cs="宋体"/>
                <w:color w:val="000000"/>
                <w:szCs w:val="24"/>
              </w:rPr>
            </w:pPr>
            <w:r>
              <w:rPr>
                <w:rFonts w:hint="eastAsia" w:ascii="宋体" w:hAnsi="宋体" w:cs="宋体"/>
                <w:color w:val="000000"/>
                <w:szCs w:val="24"/>
              </w:rPr>
              <w:t>个</w:t>
            </w:r>
          </w:p>
        </w:tc>
        <w:tc>
          <w:tcPr>
            <w:tcW w:w="1656" w:type="dxa"/>
            <w:tcBorders>
              <w:top w:val="single" w:color="000000" w:sz="4" w:space="0"/>
              <w:left w:val="single" w:color="000000" w:sz="4" w:space="0"/>
              <w:bottom w:val="single" w:color="000000" w:sz="4" w:space="0"/>
              <w:right w:val="single" w:color="000000" w:sz="4" w:space="0"/>
            </w:tcBorders>
            <w:vAlign w:val="center"/>
          </w:tcPr>
          <w:p w14:paraId="6E2B4800">
            <w:pPr>
              <w:widowControl/>
              <w:adjustRightInd/>
              <w:spacing w:line="240" w:lineRule="auto"/>
              <w:jc w:val="center"/>
              <w:textAlignment w:val="auto"/>
              <w:rPr>
                <w:rFonts w:hint="eastAsia" w:ascii="宋体" w:hAnsi="宋体" w:cs="宋体"/>
                <w:color w:val="000000"/>
                <w:szCs w:val="24"/>
              </w:rPr>
            </w:pPr>
          </w:p>
        </w:tc>
        <w:tc>
          <w:tcPr>
            <w:tcW w:w="1135" w:type="dxa"/>
            <w:tcBorders>
              <w:top w:val="single" w:color="000000" w:sz="4" w:space="0"/>
              <w:left w:val="single" w:color="000000" w:sz="4" w:space="0"/>
              <w:bottom w:val="single" w:color="000000" w:sz="4" w:space="0"/>
              <w:right w:val="single" w:color="000000" w:sz="4" w:space="0"/>
            </w:tcBorders>
            <w:vAlign w:val="center"/>
          </w:tcPr>
          <w:p w14:paraId="0D761D1E">
            <w:pPr>
              <w:widowControl/>
              <w:adjustRightInd/>
              <w:spacing w:line="240" w:lineRule="auto"/>
              <w:jc w:val="center"/>
              <w:textAlignment w:val="auto"/>
              <w:rPr>
                <w:rFonts w:eastAsia="Times New Roman"/>
                <w:sz w:val="20"/>
              </w:rPr>
            </w:pPr>
          </w:p>
        </w:tc>
        <w:tc>
          <w:tcPr>
            <w:tcW w:w="1701" w:type="dxa"/>
            <w:tcBorders>
              <w:top w:val="single" w:color="000000" w:sz="4" w:space="0"/>
              <w:left w:val="single" w:color="000000" w:sz="4" w:space="0"/>
              <w:bottom w:val="single" w:color="000000" w:sz="4" w:space="0"/>
              <w:right w:val="single" w:color="000000" w:sz="4" w:space="0"/>
            </w:tcBorders>
            <w:noWrap/>
            <w:vAlign w:val="center"/>
          </w:tcPr>
          <w:p w14:paraId="0747B7C8">
            <w:pPr>
              <w:widowControl/>
              <w:adjustRightInd/>
              <w:spacing w:line="240" w:lineRule="auto"/>
              <w:jc w:val="center"/>
              <w:textAlignment w:val="auto"/>
              <w:rPr>
                <w:rFonts w:eastAsia="Times New Roman"/>
                <w:sz w:val="20"/>
              </w:rPr>
            </w:pPr>
          </w:p>
        </w:tc>
      </w:tr>
      <w:tr w14:paraId="32A18426">
        <w:tblPrEx>
          <w:tblCellMar>
            <w:top w:w="0" w:type="dxa"/>
            <w:left w:w="108" w:type="dxa"/>
            <w:bottom w:w="0" w:type="dxa"/>
            <w:right w:w="108" w:type="dxa"/>
          </w:tblCellMar>
        </w:tblPrEx>
        <w:trPr>
          <w:trHeight w:val="570" w:hRule="atLeast"/>
        </w:trPr>
        <w:tc>
          <w:tcPr>
            <w:tcW w:w="739" w:type="dxa"/>
            <w:tcBorders>
              <w:top w:val="single" w:color="000000" w:sz="4" w:space="0"/>
              <w:left w:val="single" w:color="000000" w:sz="4" w:space="0"/>
              <w:bottom w:val="single" w:color="000000" w:sz="4" w:space="0"/>
              <w:right w:val="single" w:color="000000" w:sz="4" w:space="0"/>
            </w:tcBorders>
            <w:vAlign w:val="center"/>
          </w:tcPr>
          <w:p w14:paraId="38333B16">
            <w:pPr>
              <w:widowControl/>
              <w:adjustRightInd/>
              <w:spacing w:line="240" w:lineRule="auto"/>
              <w:jc w:val="center"/>
              <w:textAlignment w:val="auto"/>
              <w:rPr>
                <w:rFonts w:hint="eastAsia" w:ascii="宋体" w:hAnsi="宋体" w:cs="宋体"/>
                <w:color w:val="000000"/>
                <w:szCs w:val="24"/>
              </w:rPr>
            </w:pPr>
            <w:r>
              <w:rPr>
                <w:rFonts w:hint="eastAsia" w:ascii="宋体" w:hAnsi="宋体" w:cs="宋体"/>
                <w:color w:val="000000"/>
                <w:szCs w:val="24"/>
              </w:rPr>
              <w:t>11</w:t>
            </w:r>
          </w:p>
        </w:tc>
        <w:tc>
          <w:tcPr>
            <w:tcW w:w="1611" w:type="dxa"/>
            <w:tcBorders>
              <w:top w:val="single" w:color="000000" w:sz="4" w:space="0"/>
              <w:left w:val="single" w:color="000000" w:sz="4" w:space="0"/>
              <w:bottom w:val="single" w:color="000000" w:sz="4" w:space="0"/>
              <w:right w:val="single" w:color="000000" w:sz="4" w:space="0"/>
            </w:tcBorders>
            <w:vAlign w:val="center"/>
          </w:tcPr>
          <w:p w14:paraId="206E889F">
            <w:pPr>
              <w:widowControl/>
              <w:adjustRightInd/>
              <w:spacing w:line="240" w:lineRule="auto"/>
              <w:jc w:val="center"/>
              <w:textAlignment w:val="auto"/>
              <w:rPr>
                <w:rFonts w:hint="eastAsia" w:ascii="宋体" w:hAnsi="宋体" w:cs="宋体"/>
                <w:color w:val="000000"/>
                <w:szCs w:val="24"/>
              </w:rPr>
            </w:pPr>
            <w:r>
              <w:rPr>
                <w:rFonts w:hint="eastAsia" w:ascii="宋体" w:hAnsi="宋体" w:cs="宋体"/>
                <w:color w:val="000000"/>
                <w:szCs w:val="24"/>
              </w:rPr>
              <w:t>安装、调试、培训</w:t>
            </w:r>
          </w:p>
        </w:tc>
        <w:tc>
          <w:tcPr>
            <w:tcW w:w="1194" w:type="dxa"/>
            <w:tcBorders>
              <w:top w:val="single" w:color="000000" w:sz="4" w:space="0"/>
              <w:left w:val="single" w:color="000000" w:sz="4" w:space="0"/>
              <w:bottom w:val="single" w:color="000000" w:sz="4" w:space="0"/>
              <w:right w:val="single" w:color="000000" w:sz="4" w:space="0"/>
            </w:tcBorders>
            <w:vAlign w:val="center"/>
          </w:tcPr>
          <w:p w14:paraId="4B7C0D22">
            <w:pPr>
              <w:widowControl/>
              <w:adjustRightInd/>
              <w:spacing w:line="240" w:lineRule="auto"/>
              <w:jc w:val="center"/>
              <w:textAlignment w:val="auto"/>
              <w:rPr>
                <w:rFonts w:hint="eastAsia" w:ascii="宋体" w:hAnsi="宋体" w:cs="宋体"/>
                <w:color w:val="000000"/>
                <w:szCs w:val="24"/>
              </w:rPr>
            </w:pPr>
            <w:r>
              <w:rPr>
                <w:rFonts w:hint="eastAsia" w:ascii="宋体" w:hAnsi="宋体" w:cs="宋体"/>
                <w:color w:val="000000"/>
                <w:szCs w:val="24"/>
              </w:rPr>
              <w:t>1</w:t>
            </w:r>
          </w:p>
        </w:tc>
        <w:tc>
          <w:tcPr>
            <w:tcW w:w="753" w:type="dxa"/>
            <w:tcBorders>
              <w:top w:val="single" w:color="000000" w:sz="4" w:space="0"/>
              <w:left w:val="single" w:color="000000" w:sz="4" w:space="0"/>
              <w:bottom w:val="single" w:color="000000" w:sz="4" w:space="0"/>
              <w:right w:val="single" w:color="000000" w:sz="4" w:space="0"/>
            </w:tcBorders>
            <w:vAlign w:val="center"/>
          </w:tcPr>
          <w:p w14:paraId="7110B53A">
            <w:pPr>
              <w:widowControl/>
              <w:adjustRightInd/>
              <w:spacing w:line="240" w:lineRule="auto"/>
              <w:jc w:val="center"/>
              <w:textAlignment w:val="auto"/>
              <w:rPr>
                <w:rFonts w:hint="eastAsia" w:ascii="宋体" w:hAnsi="宋体" w:cs="宋体"/>
                <w:color w:val="000000"/>
                <w:szCs w:val="24"/>
              </w:rPr>
            </w:pPr>
            <w:r>
              <w:rPr>
                <w:rFonts w:hint="eastAsia" w:ascii="宋体" w:hAnsi="宋体" w:cs="宋体"/>
                <w:color w:val="000000"/>
                <w:szCs w:val="24"/>
              </w:rPr>
              <w:t>项</w:t>
            </w:r>
          </w:p>
        </w:tc>
        <w:tc>
          <w:tcPr>
            <w:tcW w:w="1656" w:type="dxa"/>
            <w:tcBorders>
              <w:top w:val="single" w:color="000000" w:sz="4" w:space="0"/>
              <w:left w:val="single" w:color="000000" w:sz="4" w:space="0"/>
              <w:bottom w:val="single" w:color="000000" w:sz="4" w:space="0"/>
              <w:right w:val="single" w:color="000000" w:sz="4" w:space="0"/>
            </w:tcBorders>
            <w:vAlign w:val="center"/>
          </w:tcPr>
          <w:p w14:paraId="29057725">
            <w:pPr>
              <w:widowControl/>
              <w:adjustRightInd/>
              <w:spacing w:line="240" w:lineRule="auto"/>
              <w:jc w:val="center"/>
              <w:textAlignment w:val="auto"/>
              <w:rPr>
                <w:rFonts w:hint="eastAsia" w:ascii="宋体" w:hAnsi="宋体" w:cs="宋体"/>
                <w:color w:val="000000"/>
                <w:szCs w:val="24"/>
              </w:rPr>
            </w:pPr>
          </w:p>
        </w:tc>
        <w:tc>
          <w:tcPr>
            <w:tcW w:w="1135" w:type="dxa"/>
            <w:tcBorders>
              <w:top w:val="single" w:color="000000" w:sz="4" w:space="0"/>
              <w:left w:val="single" w:color="000000" w:sz="4" w:space="0"/>
              <w:bottom w:val="single" w:color="000000" w:sz="4" w:space="0"/>
              <w:right w:val="single" w:color="000000" w:sz="4" w:space="0"/>
            </w:tcBorders>
            <w:vAlign w:val="center"/>
          </w:tcPr>
          <w:p w14:paraId="51B890B2">
            <w:pPr>
              <w:widowControl/>
              <w:adjustRightInd/>
              <w:spacing w:line="240" w:lineRule="auto"/>
              <w:jc w:val="center"/>
              <w:textAlignment w:val="auto"/>
              <w:rPr>
                <w:rFonts w:eastAsia="Times New Roman"/>
                <w:sz w:val="20"/>
              </w:rPr>
            </w:pPr>
          </w:p>
        </w:tc>
        <w:tc>
          <w:tcPr>
            <w:tcW w:w="1701" w:type="dxa"/>
            <w:tcBorders>
              <w:top w:val="single" w:color="000000" w:sz="4" w:space="0"/>
              <w:left w:val="single" w:color="000000" w:sz="4" w:space="0"/>
              <w:bottom w:val="single" w:color="000000" w:sz="4" w:space="0"/>
              <w:right w:val="single" w:color="000000" w:sz="4" w:space="0"/>
            </w:tcBorders>
            <w:noWrap/>
            <w:vAlign w:val="center"/>
          </w:tcPr>
          <w:p w14:paraId="3093D6BB">
            <w:pPr>
              <w:widowControl/>
              <w:adjustRightInd/>
              <w:spacing w:line="240" w:lineRule="auto"/>
              <w:jc w:val="center"/>
              <w:textAlignment w:val="auto"/>
              <w:rPr>
                <w:rFonts w:eastAsia="Times New Roman"/>
                <w:sz w:val="20"/>
              </w:rPr>
            </w:pPr>
          </w:p>
        </w:tc>
      </w:tr>
      <w:tr w14:paraId="1B049B45">
        <w:tblPrEx>
          <w:tblCellMar>
            <w:top w:w="0" w:type="dxa"/>
            <w:left w:w="108" w:type="dxa"/>
            <w:bottom w:w="0" w:type="dxa"/>
            <w:right w:w="108" w:type="dxa"/>
          </w:tblCellMar>
        </w:tblPrEx>
        <w:trPr>
          <w:trHeight w:val="570" w:hRule="atLeast"/>
        </w:trPr>
        <w:tc>
          <w:tcPr>
            <w:tcW w:w="739" w:type="dxa"/>
            <w:tcBorders>
              <w:top w:val="single" w:color="000000" w:sz="4" w:space="0"/>
              <w:left w:val="single" w:color="000000" w:sz="4" w:space="0"/>
              <w:bottom w:val="single" w:color="000000" w:sz="4" w:space="0"/>
              <w:right w:val="single" w:color="000000" w:sz="4" w:space="0"/>
            </w:tcBorders>
            <w:vAlign w:val="center"/>
          </w:tcPr>
          <w:p w14:paraId="795772D4">
            <w:pPr>
              <w:widowControl/>
              <w:adjustRightInd/>
              <w:spacing w:line="240" w:lineRule="auto"/>
              <w:jc w:val="center"/>
              <w:textAlignment w:val="auto"/>
              <w:rPr>
                <w:rFonts w:hint="eastAsia" w:ascii="宋体" w:hAnsi="宋体" w:cs="宋体"/>
                <w:color w:val="000000"/>
                <w:szCs w:val="24"/>
              </w:rPr>
            </w:pPr>
            <w:r>
              <w:rPr>
                <w:rFonts w:hint="eastAsia" w:ascii="宋体" w:hAnsi="宋体" w:cs="宋体"/>
                <w:color w:val="000000"/>
                <w:szCs w:val="24"/>
              </w:rPr>
              <w:t>12</w:t>
            </w:r>
          </w:p>
        </w:tc>
        <w:tc>
          <w:tcPr>
            <w:tcW w:w="1611" w:type="dxa"/>
            <w:tcBorders>
              <w:top w:val="single" w:color="000000" w:sz="4" w:space="0"/>
              <w:left w:val="single" w:color="000000" w:sz="4" w:space="0"/>
              <w:bottom w:val="single" w:color="000000" w:sz="4" w:space="0"/>
              <w:right w:val="single" w:color="000000" w:sz="4" w:space="0"/>
            </w:tcBorders>
            <w:vAlign w:val="center"/>
          </w:tcPr>
          <w:p w14:paraId="2ADD24BB">
            <w:pPr>
              <w:widowControl/>
              <w:adjustRightInd/>
              <w:spacing w:line="240" w:lineRule="auto"/>
              <w:jc w:val="center"/>
              <w:textAlignment w:val="auto"/>
              <w:rPr>
                <w:rFonts w:hint="eastAsia" w:ascii="宋体" w:hAnsi="宋体" w:cs="宋体"/>
                <w:color w:val="000000"/>
                <w:szCs w:val="24"/>
              </w:rPr>
            </w:pPr>
            <w:r>
              <w:rPr>
                <w:rFonts w:hint="eastAsia" w:ascii="宋体" w:hAnsi="宋体" w:cs="宋体"/>
                <w:color w:val="000000"/>
                <w:szCs w:val="24"/>
              </w:rPr>
              <w:t>屏体框架</w:t>
            </w:r>
          </w:p>
        </w:tc>
        <w:tc>
          <w:tcPr>
            <w:tcW w:w="1194" w:type="dxa"/>
            <w:tcBorders>
              <w:top w:val="single" w:color="000000" w:sz="4" w:space="0"/>
              <w:left w:val="single" w:color="000000" w:sz="4" w:space="0"/>
              <w:bottom w:val="single" w:color="000000" w:sz="4" w:space="0"/>
              <w:right w:val="single" w:color="000000" w:sz="4" w:space="0"/>
            </w:tcBorders>
            <w:vAlign w:val="center"/>
          </w:tcPr>
          <w:p w14:paraId="00D6DB33">
            <w:pPr>
              <w:widowControl/>
              <w:adjustRightInd/>
              <w:spacing w:line="240" w:lineRule="auto"/>
              <w:jc w:val="center"/>
              <w:textAlignment w:val="auto"/>
              <w:rPr>
                <w:rFonts w:hint="eastAsia" w:ascii="宋体" w:hAnsi="宋体" w:cs="宋体"/>
                <w:color w:val="000000"/>
                <w:szCs w:val="24"/>
              </w:rPr>
            </w:pPr>
          </w:p>
        </w:tc>
        <w:tc>
          <w:tcPr>
            <w:tcW w:w="753" w:type="dxa"/>
            <w:tcBorders>
              <w:top w:val="single" w:color="000000" w:sz="4" w:space="0"/>
              <w:left w:val="single" w:color="000000" w:sz="4" w:space="0"/>
              <w:bottom w:val="single" w:color="000000" w:sz="4" w:space="0"/>
              <w:right w:val="single" w:color="000000" w:sz="4" w:space="0"/>
            </w:tcBorders>
            <w:vAlign w:val="center"/>
          </w:tcPr>
          <w:p w14:paraId="4DA3EF05">
            <w:pPr>
              <w:widowControl/>
              <w:adjustRightInd/>
              <w:spacing w:line="240" w:lineRule="auto"/>
              <w:jc w:val="center"/>
              <w:textAlignment w:val="auto"/>
              <w:rPr>
                <w:rFonts w:hint="eastAsia" w:ascii="宋体" w:hAnsi="宋体" w:cs="宋体"/>
                <w:color w:val="000000"/>
                <w:szCs w:val="24"/>
              </w:rPr>
            </w:pPr>
            <w:r>
              <w:rPr>
                <w:rFonts w:hint="eastAsia" w:ascii="宋体" w:hAnsi="宋体" w:cs="宋体"/>
                <w:color w:val="000000"/>
                <w:szCs w:val="24"/>
              </w:rPr>
              <w:t>m</w:t>
            </w:r>
            <w:r>
              <w:rPr>
                <w:rFonts w:ascii="宋体" w:hAnsi="宋体" w:cs="宋体"/>
                <w:color w:val="000000"/>
                <w:szCs w:val="24"/>
                <w:vertAlign w:val="superscript"/>
              </w:rPr>
              <w:t>2</w:t>
            </w:r>
          </w:p>
        </w:tc>
        <w:tc>
          <w:tcPr>
            <w:tcW w:w="1656" w:type="dxa"/>
            <w:tcBorders>
              <w:top w:val="single" w:color="000000" w:sz="4" w:space="0"/>
              <w:left w:val="single" w:color="000000" w:sz="4" w:space="0"/>
              <w:bottom w:val="single" w:color="000000" w:sz="4" w:space="0"/>
              <w:right w:val="single" w:color="000000" w:sz="4" w:space="0"/>
            </w:tcBorders>
            <w:vAlign w:val="center"/>
          </w:tcPr>
          <w:p w14:paraId="25157533">
            <w:pPr>
              <w:widowControl/>
              <w:adjustRightInd/>
              <w:spacing w:line="240" w:lineRule="auto"/>
              <w:jc w:val="center"/>
              <w:textAlignment w:val="auto"/>
              <w:rPr>
                <w:rFonts w:hint="eastAsia" w:ascii="宋体" w:hAnsi="宋体" w:cs="宋体"/>
                <w:color w:val="000000"/>
                <w:szCs w:val="24"/>
              </w:rPr>
            </w:pPr>
          </w:p>
        </w:tc>
        <w:tc>
          <w:tcPr>
            <w:tcW w:w="1135" w:type="dxa"/>
            <w:tcBorders>
              <w:top w:val="single" w:color="000000" w:sz="4" w:space="0"/>
              <w:left w:val="single" w:color="000000" w:sz="4" w:space="0"/>
              <w:bottom w:val="single" w:color="000000" w:sz="4" w:space="0"/>
              <w:right w:val="single" w:color="000000" w:sz="4" w:space="0"/>
            </w:tcBorders>
            <w:vAlign w:val="center"/>
          </w:tcPr>
          <w:p w14:paraId="433DF76D">
            <w:pPr>
              <w:widowControl/>
              <w:adjustRightInd/>
              <w:spacing w:line="240" w:lineRule="auto"/>
              <w:jc w:val="center"/>
              <w:textAlignment w:val="auto"/>
              <w:rPr>
                <w:rFonts w:eastAsia="Times New Roman"/>
                <w:sz w:val="20"/>
              </w:rPr>
            </w:pPr>
          </w:p>
        </w:tc>
        <w:tc>
          <w:tcPr>
            <w:tcW w:w="1701" w:type="dxa"/>
            <w:tcBorders>
              <w:top w:val="single" w:color="000000" w:sz="4" w:space="0"/>
              <w:left w:val="single" w:color="000000" w:sz="4" w:space="0"/>
              <w:bottom w:val="single" w:color="000000" w:sz="4" w:space="0"/>
              <w:right w:val="single" w:color="000000" w:sz="4" w:space="0"/>
            </w:tcBorders>
            <w:vAlign w:val="center"/>
          </w:tcPr>
          <w:p w14:paraId="3B49D888">
            <w:pPr>
              <w:widowControl/>
              <w:adjustRightInd/>
              <w:spacing w:line="240" w:lineRule="auto"/>
              <w:jc w:val="center"/>
              <w:textAlignment w:val="auto"/>
              <w:rPr>
                <w:rFonts w:hint="eastAsia" w:ascii="宋体" w:hAnsi="宋体" w:cs="宋体"/>
                <w:color w:val="000000"/>
                <w:szCs w:val="24"/>
              </w:rPr>
            </w:pPr>
            <w:r>
              <w:rPr>
                <w:rFonts w:hint="eastAsia" w:ascii="宋体" w:hAnsi="宋体" w:cs="宋体"/>
                <w:color w:val="000000"/>
                <w:szCs w:val="24"/>
              </w:rPr>
              <w:t>同一批出厂</w:t>
            </w:r>
          </w:p>
        </w:tc>
      </w:tr>
      <w:tr w14:paraId="610467BD">
        <w:tblPrEx>
          <w:tblCellMar>
            <w:top w:w="0" w:type="dxa"/>
            <w:left w:w="108" w:type="dxa"/>
            <w:bottom w:w="0" w:type="dxa"/>
            <w:right w:w="108" w:type="dxa"/>
          </w:tblCellMar>
        </w:tblPrEx>
        <w:trPr>
          <w:trHeight w:val="336" w:hRule="atLeast"/>
        </w:trPr>
        <w:tc>
          <w:tcPr>
            <w:tcW w:w="739" w:type="dxa"/>
            <w:tcBorders>
              <w:top w:val="single" w:color="000000" w:sz="4" w:space="0"/>
              <w:left w:val="single" w:color="000000" w:sz="4" w:space="0"/>
              <w:bottom w:val="single" w:color="000000" w:sz="4" w:space="0"/>
              <w:right w:val="single" w:color="000000" w:sz="4" w:space="0"/>
            </w:tcBorders>
            <w:vAlign w:val="center"/>
          </w:tcPr>
          <w:p w14:paraId="1AC572F2">
            <w:pPr>
              <w:widowControl/>
              <w:adjustRightInd/>
              <w:spacing w:line="240" w:lineRule="auto"/>
              <w:jc w:val="center"/>
              <w:textAlignment w:val="auto"/>
              <w:rPr>
                <w:rFonts w:hint="eastAsia" w:ascii="宋体" w:hAnsi="宋体" w:cs="宋体"/>
                <w:color w:val="000000"/>
                <w:szCs w:val="24"/>
              </w:rPr>
            </w:pPr>
            <w:r>
              <w:rPr>
                <w:rFonts w:hint="eastAsia" w:ascii="宋体" w:hAnsi="宋体" w:cs="宋体"/>
                <w:color w:val="000000"/>
                <w:szCs w:val="24"/>
              </w:rPr>
              <w:t>13</w:t>
            </w:r>
          </w:p>
        </w:tc>
        <w:tc>
          <w:tcPr>
            <w:tcW w:w="1611" w:type="dxa"/>
            <w:tcBorders>
              <w:top w:val="single" w:color="000000" w:sz="4" w:space="0"/>
              <w:left w:val="single" w:color="000000" w:sz="4" w:space="0"/>
              <w:bottom w:val="single" w:color="000000" w:sz="4" w:space="0"/>
              <w:right w:val="single" w:color="000000" w:sz="4" w:space="0"/>
            </w:tcBorders>
            <w:vAlign w:val="center"/>
          </w:tcPr>
          <w:p w14:paraId="23D76F54">
            <w:pPr>
              <w:widowControl/>
              <w:adjustRightInd/>
              <w:spacing w:line="240" w:lineRule="auto"/>
              <w:jc w:val="center"/>
              <w:textAlignment w:val="auto"/>
              <w:rPr>
                <w:rFonts w:hint="eastAsia" w:ascii="宋体" w:hAnsi="宋体" w:cs="宋体"/>
                <w:color w:val="000000"/>
                <w:szCs w:val="24"/>
              </w:rPr>
            </w:pPr>
            <w:r>
              <w:rPr>
                <w:rFonts w:hint="eastAsia" w:ascii="宋体" w:hAnsi="宋体" w:cs="宋体"/>
                <w:color w:val="000000"/>
                <w:szCs w:val="24"/>
              </w:rPr>
              <w:t>安装辅材</w:t>
            </w:r>
          </w:p>
        </w:tc>
        <w:tc>
          <w:tcPr>
            <w:tcW w:w="1194" w:type="dxa"/>
            <w:tcBorders>
              <w:top w:val="single" w:color="000000" w:sz="4" w:space="0"/>
              <w:left w:val="single" w:color="000000" w:sz="4" w:space="0"/>
              <w:bottom w:val="single" w:color="000000" w:sz="4" w:space="0"/>
              <w:right w:val="single" w:color="000000" w:sz="4" w:space="0"/>
            </w:tcBorders>
            <w:vAlign w:val="center"/>
          </w:tcPr>
          <w:p w14:paraId="1AD6B2F3">
            <w:pPr>
              <w:widowControl/>
              <w:adjustRightInd/>
              <w:spacing w:line="240" w:lineRule="auto"/>
              <w:jc w:val="center"/>
              <w:textAlignment w:val="auto"/>
              <w:rPr>
                <w:rFonts w:hint="eastAsia" w:ascii="宋体" w:hAnsi="宋体" w:cs="宋体"/>
                <w:color w:val="000000"/>
                <w:szCs w:val="24"/>
              </w:rPr>
            </w:pPr>
          </w:p>
        </w:tc>
        <w:tc>
          <w:tcPr>
            <w:tcW w:w="753" w:type="dxa"/>
            <w:tcBorders>
              <w:top w:val="single" w:color="000000" w:sz="4" w:space="0"/>
              <w:left w:val="single" w:color="000000" w:sz="4" w:space="0"/>
              <w:bottom w:val="single" w:color="000000" w:sz="4" w:space="0"/>
              <w:right w:val="single" w:color="000000" w:sz="4" w:space="0"/>
            </w:tcBorders>
            <w:vAlign w:val="center"/>
          </w:tcPr>
          <w:p w14:paraId="399BC80E">
            <w:pPr>
              <w:widowControl/>
              <w:adjustRightInd/>
              <w:spacing w:line="240" w:lineRule="auto"/>
              <w:jc w:val="center"/>
              <w:textAlignment w:val="auto"/>
              <w:rPr>
                <w:rFonts w:hint="eastAsia" w:ascii="宋体" w:hAnsi="宋体" w:cs="宋体"/>
                <w:color w:val="000000"/>
                <w:szCs w:val="24"/>
              </w:rPr>
            </w:pPr>
            <w:r>
              <w:rPr>
                <w:rFonts w:hint="eastAsia" w:ascii="宋体" w:hAnsi="宋体" w:cs="宋体"/>
                <w:color w:val="000000"/>
                <w:szCs w:val="24"/>
              </w:rPr>
              <w:t>套</w:t>
            </w:r>
          </w:p>
        </w:tc>
        <w:tc>
          <w:tcPr>
            <w:tcW w:w="1656" w:type="dxa"/>
            <w:tcBorders>
              <w:top w:val="single" w:color="000000" w:sz="4" w:space="0"/>
              <w:left w:val="single" w:color="000000" w:sz="4" w:space="0"/>
              <w:bottom w:val="single" w:color="000000" w:sz="4" w:space="0"/>
              <w:right w:val="single" w:color="000000" w:sz="4" w:space="0"/>
            </w:tcBorders>
            <w:vAlign w:val="center"/>
          </w:tcPr>
          <w:p w14:paraId="28568845">
            <w:pPr>
              <w:widowControl/>
              <w:adjustRightInd/>
              <w:spacing w:line="240" w:lineRule="auto"/>
              <w:jc w:val="center"/>
              <w:textAlignment w:val="auto"/>
              <w:rPr>
                <w:rFonts w:hint="eastAsia" w:ascii="宋体" w:hAnsi="宋体" w:cs="宋体"/>
                <w:color w:val="000000"/>
                <w:szCs w:val="24"/>
              </w:rPr>
            </w:pPr>
          </w:p>
        </w:tc>
        <w:tc>
          <w:tcPr>
            <w:tcW w:w="1135" w:type="dxa"/>
            <w:tcBorders>
              <w:top w:val="single" w:color="000000" w:sz="4" w:space="0"/>
              <w:left w:val="single" w:color="000000" w:sz="4" w:space="0"/>
              <w:bottom w:val="single" w:color="000000" w:sz="4" w:space="0"/>
              <w:right w:val="single" w:color="000000" w:sz="4" w:space="0"/>
            </w:tcBorders>
            <w:vAlign w:val="center"/>
          </w:tcPr>
          <w:p w14:paraId="1AB687F9">
            <w:pPr>
              <w:widowControl/>
              <w:adjustRightInd/>
              <w:spacing w:line="240" w:lineRule="auto"/>
              <w:jc w:val="center"/>
              <w:textAlignment w:val="auto"/>
              <w:rPr>
                <w:rFonts w:eastAsia="Times New Roman"/>
                <w:sz w:val="20"/>
              </w:rPr>
            </w:pPr>
          </w:p>
        </w:tc>
        <w:tc>
          <w:tcPr>
            <w:tcW w:w="1701" w:type="dxa"/>
            <w:tcBorders>
              <w:top w:val="single" w:color="000000" w:sz="4" w:space="0"/>
              <w:left w:val="single" w:color="000000" w:sz="4" w:space="0"/>
              <w:bottom w:val="single" w:color="000000" w:sz="4" w:space="0"/>
              <w:right w:val="single" w:color="000000" w:sz="4" w:space="0"/>
            </w:tcBorders>
            <w:noWrap/>
            <w:vAlign w:val="center"/>
          </w:tcPr>
          <w:p w14:paraId="678B2B2E">
            <w:pPr>
              <w:widowControl/>
              <w:adjustRightInd/>
              <w:spacing w:line="240" w:lineRule="auto"/>
              <w:textAlignment w:val="auto"/>
              <w:rPr>
                <w:rFonts w:hint="eastAsia" w:ascii="宋体" w:hAnsi="宋体" w:cs="宋体"/>
                <w:color w:val="000000"/>
                <w:sz w:val="22"/>
                <w:szCs w:val="22"/>
              </w:rPr>
            </w:pPr>
            <w:r>
              <w:rPr>
                <w:rFonts w:hint="eastAsia" w:ascii="宋体" w:hAnsi="宋体" w:cs="宋体"/>
                <w:color w:val="000000"/>
              </w:rPr>
              <w:t>含插线板、检修照明（LED灯）等满足实际需要</w:t>
            </w:r>
          </w:p>
        </w:tc>
      </w:tr>
      <w:tr w14:paraId="21385E23">
        <w:tblPrEx>
          <w:tblCellMar>
            <w:top w:w="0" w:type="dxa"/>
            <w:left w:w="108" w:type="dxa"/>
            <w:bottom w:w="0" w:type="dxa"/>
            <w:right w:w="108" w:type="dxa"/>
          </w:tblCellMar>
        </w:tblPrEx>
        <w:trPr>
          <w:trHeight w:val="570" w:hRule="atLeast"/>
        </w:trPr>
        <w:tc>
          <w:tcPr>
            <w:tcW w:w="739" w:type="dxa"/>
            <w:tcBorders>
              <w:top w:val="single" w:color="000000" w:sz="4" w:space="0"/>
              <w:left w:val="single" w:color="000000" w:sz="4" w:space="0"/>
              <w:bottom w:val="single" w:color="000000" w:sz="4" w:space="0"/>
              <w:right w:val="single" w:color="000000" w:sz="4" w:space="0"/>
            </w:tcBorders>
            <w:vAlign w:val="center"/>
          </w:tcPr>
          <w:p w14:paraId="010CAA4F">
            <w:pPr>
              <w:widowControl/>
              <w:adjustRightInd/>
              <w:spacing w:line="240" w:lineRule="auto"/>
              <w:jc w:val="center"/>
              <w:textAlignment w:val="auto"/>
              <w:rPr>
                <w:rFonts w:hint="eastAsia" w:ascii="宋体" w:hAnsi="宋体" w:cs="宋体"/>
                <w:color w:val="000000"/>
                <w:szCs w:val="24"/>
              </w:rPr>
            </w:pPr>
            <w:r>
              <w:rPr>
                <w:rFonts w:hint="eastAsia" w:ascii="宋体" w:hAnsi="宋体" w:cs="宋体"/>
                <w:color w:val="000000"/>
                <w:szCs w:val="24"/>
              </w:rPr>
              <w:t>14</w:t>
            </w:r>
          </w:p>
        </w:tc>
        <w:tc>
          <w:tcPr>
            <w:tcW w:w="1611" w:type="dxa"/>
            <w:tcBorders>
              <w:top w:val="single" w:color="000000" w:sz="4" w:space="0"/>
              <w:left w:val="single" w:color="000000" w:sz="4" w:space="0"/>
              <w:bottom w:val="single" w:color="000000" w:sz="4" w:space="0"/>
              <w:right w:val="single" w:color="000000" w:sz="4" w:space="0"/>
            </w:tcBorders>
            <w:vAlign w:val="center"/>
          </w:tcPr>
          <w:p w14:paraId="5DEE5AB6">
            <w:pPr>
              <w:widowControl/>
              <w:adjustRightInd/>
              <w:spacing w:line="240" w:lineRule="auto"/>
              <w:jc w:val="center"/>
              <w:textAlignment w:val="auto"/>
              <w:rPr>
                <w:rFonts w:hint="eastAsia" w:ascii="宋体" w:hAnsi="宋体" w:cs="宋体"/>
                <w:color w:val="000000"/>
                <w:szCs w:val="24"/>
              </w:rPr>
            </w:pPr>
            <w:r>
              <w:rPr>
                <w:rFonts w:hint="eastAsia" w:ascii="宋体" w:hAnsi="宋体" w:cs="宋体"/>
                <w:color w:val="000000"/>
                <w:szCs w:val="24"/>
              </w:rPr>
              <w:t>其他</w:t>
            </w:r>
          </w:p>
        </w:tc>
        <w:tc>
          <w:tcPr>
            <w:tcW w:w="1194" w:type="dxa"/>
            <w:tcBorders>
              <w:top w:val="single" w:color="000000" w:sz="4" w:space="0"/>
              <w:left w:val="single" w:color="000000" w:sz="4" w:space="0"/>
              <w:bottom w:val="single" w:color="000000" w:sz="4" w:space="0"/>
              <w:right w:val="single" w:color="000000" w:sz="4" w:space="0"/>
            </w:tcBorders>
            <w:vAlign w:val="center"/>
          </w:tcPr>
          <w:p w14:paraId="1C1AD2EF">
            <w:pPr>
              <w:widowControl/>
              <w:adjustRightInd/>
              <w:spacing w:line="240" w:lineRule="auto"/>
              <w:jc w:val="center"/>
              <w:textAlignment w:val="auto"/>
              <w:rPr>
                <w:rFonts w:hint="eastAsia" w:ascii="宋体" w:hAnsi="宋体" w:cs="宋体"/>
                <w:color w:val="000000"/>
                <w:szCs w:val="24"/>
              </w:rPr>
            </w:pPr>
          </w:p>
        </w:tc>
        <w:tc>
          <w:tcPr>
            <w:tcW w:w="753" w:type="dxa"/>
            <w:tcBorders>
              <w:top w:val="single" w:color="000000" w:sz="4" w:space="0"/>
              <w:left w:val="single" w:color="000000" w:sz="4" w:space="0"/>
              <w:bottom w:val="single" w:color="000000" w:sz="4" w:space="0"/>
              <w:right w:val="single" w:color="000000" w:sz="4" w:space="0"/>
            </w:tcBorders>
            <w:noWrap/>
            <w:vAlign w:val="center"/>
          </w:tcPr>
          <w:p w14:paraId="4C1ADF75">
            <w:pPr>
              <w:widowControl/>
              <w:adjustRightInd/>
              <w:spacing w:line="240" w:lineRule="auto"/>
              <w:jc w:val="center"/>
              <w:textAlignment w:val="auto"/>
              <w:rPr>
                <w:rFonts w:eastAsia="Times New Roman"/>
                <w:sz w:val="20"/>
              </w:rPr>
            </w:pPr>
          </w:p>
        </w:tc>
        <w:tc>
          <w:tcPr>
            <w:tcW w:w="1656" w:type="dxa"/>
            <w:tcBorders>
              <w:top w:val="single" w:color="000000" w:sz="4" w:space="0"/>
              <w:left w:val="single" w:color="000000" w:sz="4" w:space="0"/>
              <w:bottom w:val="single" w:color="000000" w:sz="4" w:space="0"/>
              <w:right w:val="single" w:color="000000" w:sz="4" w:space="0"/>
            </w:tcBorders>
            <w:vAlign w:val="center"/>
          </w:tcPr>
          <w:p w14:paraId="3DFB7408">
            <w:pPr>
              <w:widowControl/>
              <w:adjustRightInd/>
              <w:spacing w:line="240" w:lineRule="auto"/>
              <w:textAlignment w:val="auto"/>
              <w:rPr>
                <w:rFonts w:eastAsia="Times New Roman"/>
                <w:sz w:val="20"/>
              </w:rPr>
            </w:pPr>
          </w:p>
        </w:tc>
        <w:tc>
          <w:tcPr>
            <w:tcW w:w="1135" w:type="dxa"/>
            <w:tcBorders>
              <w:top w:val="single" w:color="000000" w:sz="4" w:space="0"/>
              <w:left w:val="single" w:color="000000" w:sz="4" w:space="0"/>
              <w:bottom w:val="single" w:color="000000" w:sz="4" w:space="0"/>
              <w:right w:val="single" w:color="000000" w:sz="4" w:space="0"/>
            </w:tcBorders>
            <w:vAlign w:val="center"/>
          </w:tcPr>
          <w:p w14:paraId="729F194A">
            <w:pPr>
              <w:widowControl/>
              <w:adjustRightInd/>
              <w:spacing w:line="240" w:lineRule="auto"/>
              <w:jc w:val="center"/>
              <w:textAlignment w:val="auto"/>
              <w:rPr>
                <w:rFonts w:eastAsia="Times New Roman"/>
                <w:sz w:val="20"/>
              </w:rPr>
            </w:pPr>
          </w:p>
        </w:tc>
        <w:tc>
          <w:tcPr>
            <w:tcW w:w="1701" w:type="dxa"/>
            <w:tcBorders>
              <w:top w:val="single" w:color="000000" w:sz="4" w:space="0"/>
              <w:left w:val="single" w:color="000000" w:sz="4" w:space="0"/>
              <w:bottom w:val="single" w:color="000000" w:sz="4" w:space="0"/>
              <w:right w:val="single" w:color="000000" w:sz="4" w:space="0"/>
            </w:tcBorders>
            <w:vAlign w:val="center"/>
          </w:tcPr>
          <w:p w14:paraId="5C9A2989">
            <w:pPr>
              <w:widowControl/>
              <w:adjustRightInd/>
              <w:spacing w:line="240" w:lineRule="auto"/>
              <w:jc w:val="center"/>
              <w:textAlignment w:val="auto"/>
              <w:rPr>
                <w:rFonts w:hint="eastAsia" w:ascii="宋体" w:hAnsi="宋体" w:cs="宋体"/>
                <w:color w:val="000000"/>
                <w:szCs w:val="24"/>
              </w:rPr>
            </w:pPr>
            <w:r>
              <w:rPr>
                <w:rFonts w:hint="eastAsia" w:ascii="宋体" w:hAnsi="宋体" w:cs="宋体"/>
                <w:color w:val="000000"/>
                <w:szCs w:val="24"/>
              </w:rPr>
              <w:t>投标人细化</w:t>
            </w:r>
          </w:p>
        </w:tc>
      </w:tr>
    </w:tbl>
    <w:p w14:paraId="0A8037BD">
      <w:pPr>
        <w:widowControl/>
        <w:autoSpaceDE w:val="0"/>
        <w:autoSpaceDN w:val="0"/>
        <w:snapToGrid w:val="0"/>
        <w:spacing w:line="360" w:lineRule="auto"/>
        <w:textAlignment w:val="bottom"/>
        <w:rPr>
          <w:b/>
        </w:rPr>
      </w:pPr>
      <w:r>
        <w:rPr>
          <w:rFonts w:hint="eastAsia"/>
          <w:b/>
        </w:rPr>
        <w:t>注：投标人提供的设备及安装材料应满足工程实际需要，特别是电源电缆、控制电缆、通讯电缆、光缆等提供的长度应满足工程实际需要，若项目及数量不够应在执行合同中无偿补足。</w:t>
      </w:r>
    </w:p>
    <w:p w14:paraId="73E70B06">
      <w:pPr>
        <w:pStyle w:val="3"/>
        <w:rPr>
          <w:rFonts w:ascii="Arial" w:cs="Arial"/>
          <w:sz w:val="24"/>
          <w:szCs w:val="24"/>
        </w:rPr>
      </w:pPr>
      <w:bookmarkStart w:id="49" w:name="_Toc492130994"/>
      <w:r>
        <w:rPr>
          <w:rFonts w:ascii="Arial" w:cs="Arial"/>
          <w:sz w:val="24"/>
          <w:szCs w:val="24"/>
        </w:rPr>
        <w:t>2备品备件</w:t>
      </w:r>
      <w:bookmarkEnd w:id="49"/>
    </w:p>
    <w:p w14:paraId="019EDC52">
      <w:pPr>
        <w:widowControl/>
        <w:autoSpaceDE w:val="0"/>
        <w:autoSpaceDN w:val="0"/>
        <w:snapToGrid w:val="0"/>
        <w:spacing w:line="360" w:lineRule="auto"/>
        <w:textAlignment w:val="bottom"/>
      </w:pPr>
      <w:r>
        <w:rPr>
          <w:rFonts w:hint="eastAsia"/>
        </w:rPr>
        <w:t>2.1 备品备件</w:t>
      </w:r>
    </w:p>
    <w:p w14:paraId="4676E212">
      <w:pPr>
        <w:widowControl/>
        <w:autoSpaceDE w:val="0"/>
        <w:autoSpaceDN w:val="0"/>
        <w:snapToGrid w:val="0"/>
        <w:spacing w:line="360" w:lineRule="auto"/>
        <w:ind w:firstLine="480" w:firstLineChars="200"/>
        <w:textAlignment w:val="bottom"/>
      </w:pPr>
      <w:r>
        <w:rPr>
          <w:rFonts w:hint="eastAsia"/>
        </w:rPr>
        <w:t>招标人</w:t>
      </w:r>
      <w:r>
        <w:t>对备件清单提出了基本需求，由</w:t>
      </w:r>
      <w:r>
        <w:rPr>
          <w:rFonts w:hint="eastAsia"/>
        </w:rPr>
        <w:t>投标人</w:t>
      </w:r>
      <w:r>
        <w:t>完善补齐，合同签定后，</w:t>
      </w:r>
      <w:r>
        <w:rPr>
          <w:rFonts w:hint="eastAsia"/>
        </w:rPr>
        <w:t>投标人</w:t>
      </w:r>
      <w:r>
        <w:t>在供货时不允许减少清单中的品种和数量。</w:t>
      </w:r>
    </w:p>
    <w:p w14:paraId="59CBB3CA">
      <w:pPr>
        <w:widowControl/>
        <w:autoSpaceDE w:val="0"/>
        <w:autoSpaceDN w:val="0"/>
        <w:snapToGrid w:val="0"/>
        <w:spacing w:line="360" w:lineRule="auto"/>
        <w:ind w:firstLine="480" w:firstLineChars="200"/>
        <w:textAlignment w:val="bottom"/>
      </w:pPr>
      <w:r>
        <w:t>备品备件随主设备一同运到现场。</w:t>
      </w:r>
    </w:p>
    <w:p w14:paraId="76BD3D39">
      <w:pPr>
        <w:widowControl/>
        <w:autoSpaceDE w:val="0"/>
        <w:autoSpaceDN w:val="0"/>
        <w:snapToGrid w:val="0"/>
        <w:spacing w:line="360" w:lineRule="auto"/>
        <w:ind w:firstLine="480" w:firstLineChars="200"/>
        <w:textAlignment w:val="bottom"/>
      </w:pPr>
      <w:r>
        <w:t>所有备品备件的一些主要部件(如印刷电路板)在发运前，都应逐件进行测试，以保证在</w:t>
      </w:r>
      <w:r>
        <w:rPr>
          <w:rFonts w:hint="eastAsia"/>
        </w:rPr>
        <w:t>LED显示屏</w:t>
      </w:r>
      <w:r>
        <w:t>中正常运行。</w:t>
      </w:r>
    </w:p>
    <w:p w14:paraId="54E2A2AD">
      <w:pPr>
        <w:widowControl/>
        <w:autoSpaceDE w:val="0"/>
        <w:autoSpaceDN w:val="0"/>
        <w:snapToGrid w:val="0"/>
        <w:spacing w:line="360" w:lineRule="auto"/>
        <w:ind w:firstLine="480" w:firstLineChars="200"/>
        <w:textAlignment w:val="bottom"/>
      </w:pPr>
      <w:r>
        <w:rPr>
          <w:rFonts w:hint="eastAsia"/>
        </w:rPr>
        <w:t>投标人</w:t>
      </w:r>
      <w:r>
        <w:t>应保证备品备件长期稳定的供货。对主要设备或与主要设备功能相同接插兼容的替代品，其备品的供货期至少是设备验收后十年或该设备退出市场后5年（二者之中取时间长的一种）。当</w:t>
      </w:r>
      <w:r>
        <w:rPr>
          <w:rFonts w:hint="eastAsia"/>
        </w:rPr>
        <w:t>投标人</w:t>
      </w:r>
      <w:r>
        <w:t>决定中断生产某些组件或设备时，应预先告知</w:t>
      </w:r>
      <w:r>
        <w:rPr>
          <w:rFonts w:hint="eastAsia"/>
        </w:rPr>
        <w:t>招标人</w:t>
      </w:r>
      <w:r>
        <w:t>，以便</w:t>
      </w:r>
      <w:r>
        <w:rPr>
          <w:rFonts w:hint="eastAsia"/>
        </w:rPr>
        <w:t>招标人</w:t>
      </w:r>
      <w:r>
        <w:t>增加这些设备的备品备件。</w:t>
      </w:r>
    </w:p>
    <w:p w14:paraId="1587A124">
      <w:pPr>
        <w:widowControl/>
        <w:autoSpaceDE w:val="0"/>
        <w:autoSpaceDN w:val="0"/>
        <w:snapToGrid w:val="0"/>
        <w:spacing w:line="360" w:lineRule="auto"/>
        <w:ind w:firstLine="480" w:firstLineChars="200"/>
        <w:textAlignment w:val="bottom"/>
      </w:pPr>
      <w:r>
        <w:rPr>
          <w:rFonts w:hint="eastAsia"/>
        </w:rPr>
        <w:t>投标人</w:t>
      </w:r>
      <w:r>
        <w:t>应对所供</w:t>
      </w:r>
      <w:r>
        <w:rPr>
          <w:rFonts w:hint="eastAsia"/>
        </w:rPr>
        <w:t>集控室LED大屏显示系</w:t>
      </w:r>
      <w:r>
        <w:t>三年运行和维护所必需的备品备件提出清单和报价，并承诺该报价三年内价格不增加。</w:t>
      </w:r>
    </w:p>
    <w:p w14:paraId="0F3D90D6">
      <w:pPr>
        <w:widowControl/>
        <w:autoSpaceDE w:val="0"/>
        <w:autoSpaceDN w:val="0"/>
        <w:snapToGrid w:val="0"/>
        <w:spacing w:line="360" w:lineRule="auto"/>
        <w:textAlignment w:val="bottom"/>
      </w:pPr>
      <w:r>
        <w:t>2.2随机标准附件及易损件、备品备件</w:t>
      </w:r>
    </w:p>
    <w:p w14:paraId="47EA2268">
      <w:pPr>
        <w:widowControl/>
        <w:autoSpaceDE w:val="0"/>
        <w:autoSpaceDN w:val="0"/>
        <w:snapToGrid w:val="0"/>
        <w:spacing w:line="360" w:lineRule="auto"/>
        <w:ind w:firstLine="480" w:firstLineChars="200"/>
        <w:textAlignment w:val="bottom"/>
      </w:pPr>
      <w:r>
        <w:t>专用工具和专用测量仪器随主设备一同运到现场，但要单独包装和单独标识。抵达现场验收合格后及移交</w:t>
      </w:r>
      <w:r>
        <w:rPr>
          <w:rFonts w:hint="eastAsia"/>
        </w:rPr>
        <w:t>招标人</w:t>
      </w:r>
      <w:r>
        <w:t>。</w:t>
      </w:r>
      <w:r>
        <w:rPr>
          <w:rFonts w:hint="eastAsia"/>
        </w:rPr>
        <w:t>投标人</w:t>
      </w:r>
      <w:r>
        <w:t>应提供所有便于维修和安装集控室数字墙所使用的专用工具。</w:t>
      </w:r>
    </w:p>
    <w:p w14:paraId="7C36C040">
      <w:pPr>
        <w:widowControl/>
        <w:autoSpaceDE w:val="0"/>
        <w:autoSpaceDN w:val="0"/>
        <w:snapToGrid w:val="0"/>
        <w:spacing w:line="360" w:lineRule="auto"/>
        <w:jc w:val="center"/>
        <w:textAlignment w:val="bottom"/>
        <w:rPr>
          <w:b/>
        </w:rPr>
      </w:pPr>
      <w:r>
        <w:rPr>
          <w:rFonts w:hint="eastAsia" w:ascii="Arial" w:hAnsi="Arial" w:cs="Arial"/>
          <w:b/>
          <w:szCs w:val="24"/>
        </w:rPr>
        <w:t>备品备件清单（由投标人填写，计入合同总价）</w:t>
      </w:r>
    </w:p>
    <w:tbl>
      <w:tblPr>
        <w:tblStyle w:val="42"/>
        <w:tblW w:w="9003"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935"/>
        <w:gridCol w:w="1436"/>
        <w:gridCol w:w="1645"/>
        <w:gridCol w:w="888"/>
        <w:gridCol w:w="900"/>
        <w:gridCol w:w="1856"/>
        <w:gridCol w:w="1343"/>
      </w:tblGrid>
      <w:tr w14:paraId="359D44D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13" w:hRule="atLeast"/>
          <w:tblHeader/>
        </w:trPr>
        <w:tc>
          <w:tcPr>
            <w:tcW w:w="935" w:type="dxa"/>
            <w:vAlign w:val="center"/>
          </w:tcPr>
          <w:p w14:paraId="5B7A5A99">
            <w:pPr>
              <w:rPr>
                <w:b/>
              </w:rPr>
            </w:pPr>
            <w:r>
              <w:rPr>
                <w:b/>
              </w:rPr>
              <w:t>序号</w:t>
            </w:r>
          </w:p>
        </w:tc>
        <w:tc>
          <w:tcPr>
            <w:tcW w:w="1436" w:type="dxa"/>
            <w:vAlign w:val="center"/>
          </w:tcPr>
          <w:p w14:paraId="7FF28974">
            <w:pPr>
              <w:jc w:val="center"/>
              <w:rPr>
                <w:b/>
              </w:rPr>
            </w:pPr>
            <w:r>
              <w:rPr>
                <w:b/>
              </w:rPr>
              <w:t>名称</w:t>
            </w:r>
          </w:p>
        </w:tc>
        <w:tc>
          <w:tcPr>
            <w:tcW w:w="1645" w:type="dxa"/>
            <w:vAlign w:val="center"/>
          </w:tcPr>
          <w:p w14:paraId="16901A3C">
            <w:pPr>
              <w:rPr>
                <w:b/>
              </w:rPr>
            </w:pPr>
            <w:r>
              <w:rPr>
                <w:b/>
              </w:rPr>
              <w:t>规格型号</w:t>
            </w:r>
          </w:p>
        </w:tc>
        <w:tc>
          <w:tcPr>
            <w:tcW w:w="888" w:type="dxa"/>
            <w:vAlign w:val="center"/>
          </w:tcPr>
          <w:p w14:paraId="314B2346">
            <w:pPr>
              <w:rPr>
                <w:b/>
              </w:rPr>
            </w:pPr>
            <w:r>
              <w:rPr>
                <w:b/>
              </w:rPr>
              <w:t>单位</w:t>
            </w:r>
          </w:p>
        </w:tc>
        <w:tc>
          <w:tcPr>
            <w:tcW w:w="900" w:type="dxa"/>
            <w:vAlign w:val="center"/>
          </w:tcPr>
          <w:p w14:paraId="2A95061A">
            <w:pPr>
              <w:rPr>
                <w:b/>
              </w:rPr>
            </w:pPr>
            <w:r>
              <w:rPr>
                <w:b/>
              </w:rPr>
              <w:t>数量</w:t>
            </w:r>
          </w:p>
        </w:tc>
        <w:tc>
          <w:tcPr>
            <w:tcW w:w="1856" w:type="dxa"/>
            <w:vAlign w:val="center"/>
          </w:tcPr>
          <w:p w14:paraId="3217ECD6">
            <w:pPr>
              <w:rPr>
                <w:b/>
              </w:rPr>
            </w:pPr>
            <w:r>
              <w:rPr>
                <w:b/>
              </w:rPr>
              <w:t>产地/生产厂家</w:t>
            </w:r>
          </w:p>
        </w:tc>
        <w:tc>
          <w:tcPr>
            <w:tcW w:w="1343" w:type="dxa"/>
            <w:tcBorders>
              <w:right w:val="single" w:color="auto" w:sz="4" w:space="0"/>
            </w:tcBorders>
            <w:vAlign w:val="center"/>
          </w:tcPr>
          <w:p w14:paraId="5AE59BF7">
            <w:pPr>
              <w:jc w:val="center"/>
              <w:rPr>
                <w:b/>
              </w:rPr>
            </w:pPr>
            <w:r>
              <w:rPr>
                <w:rFonts w:hint="eastAsia"/>
                <w:b/>
              </w:rPr>
              <w:t>备注</w:t>
            </w:r>
          </w:p>
        </w:tc>
      </w:tr>
      <w:tr w14:paraId="0E3A15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c>
          <w:tcPr>
            <w:tcW w:w="935" w:type="dxa"/>
          </w:tcPr>
          <w:p w14:paraId="6D6704CF">
            <w:pPr>
              <w:widowControl/>
              <w:spacing w:line="360" w:lineRule="auto"/>
              <w:jc w:val="center"/>
              <w:rPr>
                <w:rFonts w:hint="eastAsia" w:ascii="宋体" w:hAnsi="宋体" w:cs="宋体"/>
                <w:color w:val="000000"/>
              </w:rPr>
            </w:pPr>
            <w:r>
              <w:rPr>
                <w:rFonts w:ascii="宋体" w:hAnsi="宋体" w:cs="宋体"/>
                <w:color w:val="000000"/>
              </w:rPr>
              <w:t>1</w:t>
            </w:r>
          </w:p>
        </w:tc>
        <w:tc>
          <w:tcPr>
            <w:tcW w:w="1436" w:type="dxa"/>
          </w:tcPr>
          <w:p w14:paraId="24305A15"/>
        </w:tc>
        <w:tc>
          <w:tcPr>
            <w:tcW w:w="1645" w:type="dxa"/>
          </w:tcPr>
          <w:p w14:paraId="6DFCAC38"/>
        </w:tc>
        <w:tc>
          <w:tcPr>
            <w:tcW w:w="888" w:type="dxa"/>
          </w:tcPr>
          <w:p w14:paraId="1167E352"/>
        </w:tc>
        <w:tc>
          <w:tcPr>
            <w:tcW w:w="900" w:type="dxa"/>
          </w:tcPr>
          <w:p w14:paraId="598887BF"/>
        </w:tc>
        <w:tc>
          <w:tcPr>
            <w:tcW w:w="1856" w:type="dxa"/>
          </w:tcPr>
          <w:p w14:paraId="65CC84C0"/>
        </w:tc>
        <w:tc>
          <w:tcPr>
            <w:tcW w:w="1343" w:type="dxa"/>
            <w:tcBorders>
              <w:right w:val="single" w:color="auto" w:sz="4" w:space="0"/>
            </w:tcBorders>
          </w:tcPr>
          <w:p w14:paraId="720D95D6"/>
        </w:tc>
      </w:tr>
      <w:tr w14:paraId="49E003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c>
          <w:tcPr>
            <w:tcW w:w="935" w:type="dxa"/>
          </w:tcPr>
          <w:p w14:paraId="655D5226">
            <w:pPr>
              <w:widowControl/>
              <w:spacing w:line="360" w:lineRule="auto"/>
              <w:jc w:val="center"/>
              <w:rPr>
                <w:rFonts w:hint="eastAsia" w:ascii="宋体" w:hAnsi="宋体" w:cs="宋体"/>
                <w:color w:val="000000"/>
              </w:rPr>
            </w:pPr>
            <w:r>
              <w:rPr>
                <w:rFonts w:ascii="宋体" w:hAnsi="宋体" w:cs="宋体"/>
                <w:color w:val="000000"/>
              </w:rPr>
              <w:t>2</w:t>
            </w:r>
          </w:p>
        </w:tc>
        <w:tc>
          <w:tcPr>
            <w:tcW w:w="1436" w:type="dxa"/>
          </w:tcPr>
          <w:p w14:paraId="48257BA2"/>
        </w:tc>
        <w:tc>
          <w:tcPr>
            <w:tcW w:w="1645" w:type="dxa"/>
          </w:tcPr>
          <w:p w14:paraId="6104CB0B"/>
        </w:tc>
        <w:tc>
          <w:tcPr>
            <w:tcW w:w="888" w:type="dxa"/>
          </w:tcPr>
          <w:p w14:paraId="0FEE52FE"/>
        </w:tc>
        <w:tc>
          <w:tcPr>
            <w:tcW w:w="900" w:type="dxa"/>
          </w:tcPr>
          <w:p w14:paraId="44F2A6A0"/>
        </w:tc>
        <w:tc>
          <w:tcPr>
            <w:tcW w:w="1856" w:type="dxa"/>
          </w:tcPr>
          <w:p w14:paraId="2BEF257D"/>
        </w:tc>
        <w:tc>
          <w:tcPr>
            <w:tcW w:w="1343" w:type="dxa"/>
            <w:tcBorders>
              <w:right w:val="single" w:color="auto" w:sz="4" w:space="0"/>
            </w:tcBorders>
          </w:tcPr>
          <w:p w14:paraId="107DEC54"/>
        </w:tc>
      </w:tr>
      <w:tr w14:paraId="4D0B05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c>
          <w:tcPr>
            <w:tcW w:w="935" w:type="dxa"/>
          </w:tcPr>
          <w:p w14:paraId="31F996F5">
            <w:pPr>
              <w:widowControl/>
              <w:spacing w:line="360" w:lineRule="auto"/>
              <w:jc w:val="center"/>
              <w:rPr>
                <w:rFonts w:hint="eastAsia" w:ascii="宋体" w:hAnsi="宋体" w:cs="宋体"/>
                <w:color w:val="000000"/>
              </w:rPr>
            </w:pPr>
            <w:r>
              <w:rPr>
                <w:rFonts w:ascii="宋体" w:hAnsi="宋体" w:cs="宋体"/>
                <w:color w:val="000000"/>
              </w:rPr>
              <w:t>3</w:t>
            </w:r>
          </w:p>
        </w:tc>
        <w:tc>
          <w:tcPr>
            <w:tcW w:w="1436" w:type="dxa"/>
          </w:tcPr>
          <w:p w14:paraId="4F20F4B1"/>
        </w:tc>
        <w:tc>
          <w:tcPr>
            <w:tcW w:w="1645" w:type="dxa"/>
          </w:tcPr>
          <w:p w14:paraId="3E581347"/>
        </w:tc>
        <w:tc>
          <w:tcPr>
            <w:tcW w:w="888" w:type="dxa"/>
          </w:tcPr>
          <w:p w14:paraId="53E850A0"/>
        </w:tc>
        <w:tc>
          <w:tcPr>
            <w:tcW w:w="900" w:type="dxa"/>
          </w:tcPr>
          <w:p w14:paraId="1269EF0E"/>
        </w:tc>
        <w:tc>
          <w:tcPr>
            <w:tcW w:w="1856" w:type="dxa"/>
          </w:tcPr>
          <w:p w14:paraId="0504B944"/>
        </w:tc>
        <w:tc>
          <w:tcPr>
            <w:tcW w:w="1343" w:type="dxa"/>
            <w:tcBorders>
              <w:right w:val="single" w:color="auto" w:sz="4" w:space="0"/>
            </w:tcBorders>
          </w:tcPr>
          <w:p w14:paraId="21441CA1"/>
        </w:tc>
      </w:tr>
      <w:tr w14:paraId="709117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c>
          <w:tcPr>
            <w:tcW w:w="935" w:type="dxa"/>
          </w:tcPr>
          <w:p w14:paraId="3ADC4EF6">
            <w:pPr>
              <w:widowControl/>
              <w:spacing w:line="360" w:lineRule="auto"/>
              <w:jc w:val="center"/>
              <w:rPr>
                <w:rFonts w:hint="eastAsia" w:ascii="宋体" w:hAnsi="宋体" w:cs="宋体"/>
                <w:color w:val="000000"/>
              </w:rPr>
            </w:pPr>
            <w:r>
              <w:rPr>
                <w:rFonts w:ascii="宋体" w:hAnsi="宋体" w:cs="宋体"/>
                <w:color w:val="000000"/>
              </w:rPr>
              <w:t>4</w:t>
            </w:r>
          </w:p>
        </w:tc>
        <w:tc>
          <w:tcPr>
            <w:tcW w:w="1436" w:type="dxa"/>
          </w:tcPr>
          <w:p w14:paraId="30CE12D4"/>
        </w:tc>
        <w:tc>
          <w:tcPr>
            <w:tcW w:w="1645" w:type="dxa"/>
          </w:tcPr>
          <w:p w14:paraId="6CB51239"/>
        </w:tc>
        <w:tc>
          <w:tcPr>
            <w:tcW w:w="888" w:type="dxa"/>
          </w:tcPr>
          <w:p w14:paraId="79891249"/>
        </w:tc>
        <w:tc>
          <w:tcPr>
            <w:tcW w:w="900" w:type="dxa"/>
          </w:tcPr>
          <w:p w14:paraId="1A8F64D8"/>
        </w:tc>
        <w:tc>
          <w:tcPr>
            <w:tcW w:w="1856" w:type="dxa"/>
          </w:tcPr>
          <w:p w14:paraId="0A1C82B8"/>
        </w:tc>
        <w:tc>
          <w:tcPr>
            <w:tcW w:w="1343" w:type="dxa"/>
            <w:tcBorders>
              <w:right w:val="single" w:color="auto" w:sz="4" w:space="0"/>
            </w:tcBorders>
          </w:tcPr>
          <w:p w14:paraId="02CF94EE"/>
        </w:tc>
      </w:tr>
    </w:tbl>
    <w:p w14:paraId="094E9732">
      <w:pPr>
        <w:pStyle w:val="117"/>
        <w:spacing w:line="360" w:lineRule="auto"/>
        <w:ind w:firstLine="240" w:firstLineChars="100"/>
        <w:rPr>
          <w:rFonts w:ascii="Arial" w:hAnsi="Arial" w:cs="Arial"/>
          <w:szCs w:val="24"/>
        </w:rPr>
      </w:pPr>
    </w:p>
    <w:p w14:paraId="270B0C0B">
      <w:pPr>
        <w:widowControl/>
        <w:autoSpaceDE w:val="0"/>
        <w:autoSpaceDN w:val="0"/>
        <w:snapToGrid w:val="0"/>
        <w:spacing w:line="360" w:lineRule="auto"/>
        <w:jc w:val="center"/>
        <w:textAlignment w:val="bottom"/>
        <w:rPr>
          <w:rFonts w:ascii="Arial" w:hAnsi="Arial" w:cs="Arial"/>
          <w:b/>
          <w:szCs w:val="24"/>
        </w:rPr>
      </w:pPr>
      <w:r>
        <w:rPr>
          <w:rFonts w:ascii="Arial" w:hAnsi="Arial" w:cs="Arial"/>
          <w:b/>
          <w:szCs w:val="24"/>
        </w:rPr>
        <w:t>专用工具、专用检测仪器仪表</w:t>
      </w:r>
      <w:r>
        <w:rPr>
          <w:rFonts w:hint="eastAsia" w:ascii="Arial" w:hAnsi="Arial" w:cs="Arial"/>
          <w:b/>
          <w:szCs w:val="24"/>
        </w:rPr>
        <w:t>清单（由投标人填写，计入合同总价）</w:t>
      </w:r>
    </w:p>
    <w:tbl>
      <w:tblPr>
        <w:tblStyle w:val="42"/>
        <w:tblW w:w="9003"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98"/>
        <w:gridCol w:w="1869"/>
        <w:gridCol w:w="1713"/>
        <w:gridCol w:w="935"/>
        <w:gridCol w:w="933"/>
        <w:gridCol w:w="1402"/>
        <w:gridCol w:w="1253"/>
      </w:tblGrid>
      <w:tr w14:paraId="152B2C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13" w:hRule="atLeast"/>
          <w:tblHeader/>
        </w:trPr>
        <w:tc>
          <w:tcPr>
            <w:tcW w:w="898" w:type="dxa"/>
            <w:vAlign w:val="center"/>
          </w:tcPr>
          <w:p w14:paraId="6DD9C248">
            <w:pPr>
              <w:rPr>
                <w:b/>
              </w:rPr>
            </w:pPr>
            <w:r>
              <w:rPr>
                <w:b/>
              </w:rPr>
              <w:t>序号</w:t>
            </w:r>
          </w:p>
        </w:tc>
        <w:tc>
          <w:tcPr>
            <w:tcW w:w="1869" w:type="dxa"/>
            <w:vAlign w:val="center"/>
          </w:tcPr>
          <w:p w14:paraId="55FF3E83">
            <w:pPr>
              <w:jc w:val="center"/>
              <w:rPr>
                <w:b/>
              </w:rPr>
            </w:pPr>
            <w:r>
              <w:rPr>
                <w:b/>
              </w:rPr>
              <w:t>名称</w:t>
            </w:r>
          </w:p>
        </w:tc>
        <w:tc>
          <w:tcPr>
            <w:tcW w:w="1713" w:type="dxa"/>
            <w:vAlign w:val="center"/>
          </w:tcPr>
          <w:p w14:paraId="3C0E1942">
            <w:pPr>
              <w:rPr>
                <w:b/>
              </w:rPr>
            </w:pPr>
            <w:r>
              <w:rPr>
                <w:b/>
              </w:rPr>
              <w:t>规格型号</w:t>
            </w:r>
          </w:p>
        </w:tc>
        <w:tc>
          <w:tcPr>
            <w:tcW w:w="935" w:type="dxa"/>
            <w:vAlign w:val="center"/>
          </w:tcPr>
          <w:p w14:paraId="03EBC183">
            <w:pPr>
              <w:rPr>
                <w:b/>
              </w:rPr>
            </w:pPr>
            <w:r>
              <w:rPr>
                <w:b/>
              </w:rPr>
              <w:t>单位</w:t>
            </w:r>
          </w:p>
        </w:tc>
        <w:tc>
          <w:tcPr>
            <w:tcW w:w="933" w:type="dxa"/>
            <w:vAlign w:val="center"/>
          </w:tcPr>
          <w:p w14:paraId="066B6B7A">
            <w:pPr>
              <w:rPr>
                <w:b/>
              </w:rPr>
            </w:pPr>
            <w:r>
              <w:rPr>
                <w:b/>
              </w:rPr>
              <w:t>数量</w:t>
            </w:r>
          </w:p>
        </w:tc>
        <w:tc>
          <w:tcPr>
            <w:tcW w:w="1402" w:type="dxa"/>
            <w:vAlign w:val="center"/>
          </w:tcPr>
          <w:p w14:paraId="6206D33A">
            <w:pPr>
              <w:rPr>
                <w:b/>
              </w:rPr>
            </w:pPr>
            <w:r>
              <w:rPr>
                <w:b/>
              </w:rPr>
              <w:t>产地/生产厂家</w:t>
            </w:r>
          </w:p>
        </w:tc>
        <w:tc>
          <w:tcPr>
            <w:tcW w:w="1253" w:type="dxa"/>
            <w:tcBorders>
              <w:left w:val="single" w:color="auto" w:sz="4" w:space="0"/>
            </w:tcBorders>
            <w:vAlign w:val="center"/>
          </w:tcPr>
          <w:p w14:paraId="3AE242D8">
            <w:pPr>
              <w:jc w:val="center"/>
              <w:rPr>
                <w:b/>
              </w:rPr>
            </w:pPr>
            <w:r>
              <w:rPr>
                <w:rFonts w:hint="eastAsia"/>
                <w:b/>
              </w:rPr>
              <w:t>备注</w:t>
            </w:r>
          </w:p>
        </w:tc>
      </w:tr>
      <w:tr w14:paraId="4749D8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c>
          <w:tcPr>
            <w:tcW w:w="898" w:type="dxa"/>
          </w:tcPr>
          <w:p w14:paraId="34473D1B">
            <w:pPr>
              <w:widowControl/>
              <w:spacing w:line="360" w:lineRule="auto"/>
              <w:jc w:val="center"/>
              <w:rPr>
                <w:rFonts w:hint="eastAsia" w:ascii="宋体" w:hAnsi="宋体" w:cs="宋体"/>
                <w:color w:val="000000"/>
              </w:rPr>
            </w:pPr>
            <w:r>
              <w:rPr>
                <w:rFonts w:ascii="宋体" w:hAnsi="宋体" w:cs="宋体"/>
                <w:color w:val="000000"/>
              </w:rPr>
              <w:t>1</w:t>
            </w:r>
          </w:p>
        </w:tc>
        <w:tc>
          <w:tcPr>
            <w:tcW w:w="1869" w:type="dxa"/>
            <w:vAlign w:val="center"/>
          </w:tcPr>
          <w:p w14:paraId="2C000AFA">
            <w:r>
              <w:rPr>
                <w:rFonts w:hint="eastAsia" w:ascii="Arial" w:hAnsi="Arial" w:cs="Arial"/>
              </w:rPr>
              <w:t>调试电脑</w:t>
            </w:r>
          </w:p>
        </w:tc>
        <w:tc>
          <w:tcPr>
            <w:tcW w:w="1713" w:type="dxa"/>
          </w:tcPr>
          <w:p w14:paraId="18B1EE51"/>
        </w:tc>
        <w:tc>
          <w:tcPr>
            <w:tcW w:w="935" w:type="dxa"/>
            <w:vAlign w:val="center"/>
          </w:tcPr>
          <w:p w14:paraId="7D105690">
            <w:pPr>
              <w:widowControl/>
              <w:spacing w:line="360" w:lineRule="auto"/>
              <w:jc w:val="center"/>
              <w:rPr>
                <w:rFonts w:hint="eastAsia" w:ascii="宋体" w:hAnsi="宋体" w:cs="宋体"/>
                <w:color w:val="000000"/>
              </w:rPr>
            </w:pPr>
            <w:r>
              <w:rPr>
                <w:rFonts w:hint="eastAsia" w:ascii="宋体" w:hAnsi="宋体" w:cs="宋体"/>
                <w:color w:val="000000"/>
              </w:rPr>
              <w:t>1</w:t>
            </w:r>
          </w:p>
        </w:tc>
        <w:tc>
          <w:tcPr>
            <w:tcW w:w="933" w:type="dxa"/>
            <w:vAlign w:val="center"/>
          </w:tcPr>
          <w:p w14:paraId="76D5DAE7">
            <w:pPr>
              <w:widowControl/>
              <w:spacing w:line="360" w:lineRule="auto"/>
              <w:jc w:val="center"/>
              <w:rPr>
                <w:rFonts w:hint="eastAsia" w:ascii="宋体" w:hAnsi="宋体" w:cs="宋体"/>
                <w:color w:val="000000"/>
              </w:rPr>
            </w:pPr>
            <w:r>
              <w:rPr>
                <w:rFonts w:hint="eastAsia" w:ascii="宋体" w:hAnsi="宋体" w:cs="宋体"/>
                <w:color w:val="000000"/>
              </w:rPr>
              <w:t>台</w:t>
            </w:r>
          </w:p>
        </w:tc>
        <w:tc>
          <w:tcPr>
            <w:tcW w:w="1402" w:type="dxa"/>
          </w:tcPr>
          <w:p w14:paraId="053BD538"/>
        </w:tc>
        <w:tc>
          <w:tcPr>
            <w:tcW w:w="1253" w:type="dxa"/>
            <w:tcBorders>
              <w:left w:val="single" w:color="auto" w:sz="4" w:space="0"/>
            </w:tcBorders>
          </w:tcPr>
          <w:p w14:paraId="636F7E36"/>
        </w:tc>
      </w:tr>
      <w:tr w14:paraId="11A085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c>
          <w:tcPr>
            <w:tcW w:w="898" w:type="dxa"/>
          </w:tcPr>
          <w:p w14:paraId="77093BE2">
            <w:pPr>
              <w:widowControl/>
              <w:spacing w:line="360" w:lineRule="auto"/>
              <w:jc w:val="center"/>
              <w:rPr>
                <w:rFonts w:hint="eastAsia" w:ascii="宋体" w:hAnsi="宋体" w:cs="宋体"/>
                <w:color w:val="000000"/>
              </w:rPr>
            </w:pPr>
            <w:r>
              <w:rPr>
                <w:rFonts w:ascii="宋体" w:hAnsi="宋体" w:cs="宋体"/>
                <w:color w:val="000000"/>
              </w:rPr>
              <w:t>2</w:t>
            </w:r>
          </w:p>
        </w:tc>
        <w:tc>
          <w:tcPr>
            <w:tcW w:w="1869" w:type="dxa"/>
          </w:tcPr>
          <w:p w14:paraId="384B364D">
            <w:r>
              <w:rPr>
                <w:rFonts w:ascii="Arial" w:hAnsi="Arial" w:cs="Arial"/>
              </w:rPr>
              <w:t>网络测线仪</w:t>
            </w:r>
          </w:p>
        </w:tc>
        <w:tc>
          <w:tcPr>
            <w:tcW w:w="1713" w:type="dxa"/>
          </w:tcPr>
          <w:p w14:paraId="386F02B6"/>
        </w:tc>
        <w:tc>
          <w:tcPr>
            <w:tcW w:w="935" w:type="dxa"/>
            <w:vAlign w:val="center"/>
          </w:tcPr>
          <w:p w14:paraId="15C7D8AF">
            <w:pPr>
              <w:widowControl/>
              <w:spacing w:line="360" w:lineRule="auto"/>
              <w:jc w:val="center"/>
              <w:rPr>
                <w:rFonts w:hint="eastAsia" w:ascii="宋体" w:hAnsi="宋体" w:cs="宋体"/>
                <w:color w:val="000000"/>
              </w:rPr>
            </w:pPr>
            <w:r>
              <w:rPr>
                <w:rFonts w:ascii="宋体" w:hAnsi="宋体" w:cs="宋体"/>
                <w:color w:val="000000"/>
              </w:rPr>
              <w:t>1</w:t>
            </w:r>
          </w:p>
        </w:tc>
        <w:tc>
          <w:tcPr>
            <w:tcW w:w="933" w:type="dxa"/>
            <w:vAlign w:val="center"/>
          </w:tcPr>
          <w:p w14:paraId="2ED07FE0">
            <w:pPr>
              <w:widowControl/>
              <w:spacing w:line="360" w:lineRule="auto"/>
              <w:jc w:val="center"/>
              <w:rPr>
                <w:rFonts w:hint="eastAsia" w:ascii="宋体" w:hAnsi="宋体" w:cs="宋体"/>
                <w:color w:val="000000"/>
              </w:rPr>
            </w:pPr>
            <w:r>
              <w:rPr>
                <w:rFonts w:ascii="宋体" w:hAnsi="宋体" w:cs="宋体"/>
                <w:color w:val="000000"/>
              </w:rPr>
              <w:t>个</w:t>
            </w:r>
          </w:p>
        </w:tc>
        <w:tc>
          <w:tcPr>
            <w:tcW w:w="1402" w:type="dxa"/>
          </w:tcPr>
          <w:p w14:paraId="0FC68719"/>
        </w:tc>
        <w:tc>
          <w:tcPr>
            <w:tcW w:w="1253" w:type="dxa"/>
            <w:tcBorders>
              <w:left w:val="single" w:color="auto" w:sz="4" w:space="0"/>
            </w:tcBorders>
          </w:tcPr>
          <w:p w14:paraId="4E3991F0"/>
        </w:tc>
      </w:tr>
      <w:tr w14:paraId="0A4F84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c>
          <w:tcPr>
            <w:tcW w:w="898" w:type="dxa"/>
          </w:tcPr>
          <w:p w14:paraId="562C3769">
            <w:pPr>
              <w:widowControl/>
              <w:spacing w:line="360" w:lineRule="auto"/>
              <w:jc w:val="center"/>
              <w:rPr>
                <w:rFonts w:hint="eastAsia" w:ascii="宋体" w:hAnsi="宋体" w:cs="宋体"/>
                <w:color w:val="000000"/>
              </w:rPr>
            </w:pPr>
            <w:r>
              <w:rPr>
                <w:rFonts w:ascii="宋体" w:hAnsi="宋体" w:cs="宋体"/>
                <w:color w:val="000000"/>
              </w:rPr>
              <w:t>3</w:t>
            </w:r>
          </w:p>
        </w:tc>
        <w:tc>
          <w:tcPr>
            <w:tcW w:w="1869" w:type="dxa"/>
            <w:vAlign w:val="center"/>
          </w:tcPr>
          <w:p w14:paraId="79569E8B">
            <w:pPr>
              <w:widowControl/>
              <w:spacing w:line="360" w:lineRule="auto"/>
              <w:jc w:val="both"/>
              <w:rPr>
                <w:rFonts w:hint="eastAsia" w:ascii="宋体" w:hAnsi="宋体" w:cs="宋体"/>
                <w:color w:val="000000"/>
              </w:rPr>
            </w:pPr>
            <w:r>
              <w:rPr>
                <w:rFonts w:ascii="宋体" w:hAnsi="宋体" w:cs="宋体"/>
                <w:color w:val="000000"/>
              </w:rPr>
              <w:t>网线钳</w:t>
            </w:r>
          </w:p>
        </w:tc>
        <w:tc>
          <w:tcPr>
            <w:tcW w:w="1713" w:type="dxa"/>
            <w:vAlign w:val="center"/>
          </w:tcPr>
          <w:p w14:paraId="0B0D2DD0">
            <w:pPr>
              <w:widowControl/>
              <w:spacing w:line="360" w:lineRule="auto"/>
              <w:jc w:val="center"/>
              <w:rPr>
                <w:rFonts w:hint="eastAsia" w:ascii="宋体" w:hAnsi="宋体" w:cs="宋体"/>
                <w:color w:val="000000"/>
              </w:rPr>
            </w:pPr>
            <w:r>
              <w:rPr>
                <w:rFonts w:hint="eastAsia" w:ascii="宋体" w:hAnsi="宋体" w:cs="宋体"/>
                <w:color w:val="000000"/>
              </w:rPr>
              <w:t>/</w:t>
            </w:r>
          </w:p>
        </w:tc>
        <w:tc>
          <w:tcPr>
            <w:tcW w:w="935" w:type="dxa"/>
            <w:vAlign w:val="center"/>
          </w:tcPr>
          <w:p w14:paraId="13A34D05">
            <w:pPr>
              <w:widowControl/>
              <w:spacing w:line="360" w:lineRule="auto"/>
              <w:jc w:val="center"/>
              <w:rPr>
                <w:rFonts w:hint="eastAsia" w:ascii="宋体" w:hAnsi="宋体" w:cs="宋体"/>
                <w:color w:val="000000"/>
              </w:rPr>
            </w:pPr>
            <w:r>
              <w:rPr>
                <w:rFonts w:ascii="宋体" w:hAnsi="宋体" w:cs="宋体"/>
                <w:color w:val="000000"/>
              </w:rPr>
              <w:t>1</w:t>
            </w:r>
          </w:p>
        </w:tc>
        <w:tc>
          <w:tcPr>
            <w:tcW w:w="933" w:type="dxa"/>
            <w:vAlign w:val="center"/>
          </w:tcPr>
          <w:p w14:paraId="7ACE8517">
            <w:pPr>
              <w:widowControl/>
              <w:spacing w:line="360" w:lineRule="auto"/>
              <w:jc w:val="center"/>
              <w:rPr>
                <w:rFonts w:hint="eastAsia" w:ascii="宋体" w:hAnsi="宋体" w:cs="宋体"/>
                <w:color w:val="000000"/>
              </w:rPr>
            </w:pPr>
            <w:r>
              <w:rPr>
                <w:rFonts w:ascii="宋体" w:hAnsi="宋体" w:cs="宋体"/>
                <w:color w:val="000000"/>
              </w:rPr>
              <w:t>把</w:t>
            </w:r>
          </w:p>
        </w:tc>
        <w:tc>
          <w:tcPr>
            <w:tcW w:w="1402" w:type="dxa"/>
            <w:vAlign w:val="center"/>
          </w:tcPr>
          <w:p w14:paraId="5FD4C01C">
            <w:pPr>
              <w:widowControl/>
              <w:spacing w:line="360" w:lineRule="auto"/>
              <w:jc w:val="center"/>
              <w:rPr>
                <w:rFonts w:hint="eastAsia" w:ascii="宋体" w:hAnsi="宋体" w:cs="宋体"/>
                <w:color w:val="000000"/>
              </w:rPr>
            </w:pPr>
          </w:p>
        </w:tc>
        <w:tc>
          <w:tcPr>
            <w:tcW w:w="1253" w:type="dxa"/>
            <w:tcBorders>
              <w:left w:val="single" w:color="auto" w:sz="4" w:space="0"/>
            </w:tcBorders>
          </w:tcPr>
          <w:p w14:paraId="7FDADCA4">
            <w:pPr>
              <w:widowControl/>
              <w:spacing w:line="360" w:lineRule="auto"/>
              <w:jc w:val="center"/>
              <w:rPr>
                <w:rFonts w:hint="eastAsia" w:ascii="宋体" w:hAnsi="宋体" w:cs="宋体"/>
                <w:color w:val="000000"/>
              </w:rPr>
            </w:pPr>
          </w:p>
        </w:tc>
      </w:tr>
      <w:tr w14:paraId="15B2E3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23" w:hRule="atLeast"/>
        </w:trPr>
        <w:tc>
          <w:tcPr>
            <w:tcW w:w="898" w:type="dxa"/>
          </w:tcPr>
          <w:p w14:paraId="2789C5F5">
            <w:pPr>
              <w:widowControl/>
              <w:spacing w:line="360" w:lineRule="auto"/>
              <w:jc w:val="center"/>
              <w:rPr>
                <w:rFonts w:hint="eastAsia" w:ascii="宋体" w:hAnsi="宋体" w:cs="宋体"/>
                <w:color w:val="000000"/>
              </w:rPr>
            </w:pPr>
            <w:r>
              <w:rPr>
                <w:rFonts w:ascii="宋体" w:hAnsi="宋体" w:cs="宋体"/>
                <w:color w:val="000000"/>
              </w:rPr>
              <w:t>4</w:t>
            </w:r>
          </w:p>
        </w:tc>
        <w:tc>
          <w:tcPr>
            <w:tcW w:w="1869" w:type="dxa"/>
            <w:vAlign w:val="center"/>
          </w:tcPr>
          <w:p w14:paraId="6B7C1CAC">
            <w:pPr>
              <w:widowControl/>
              <w:spacing w:line="360" w:lineRule="auto"/>
              <w:jc w:val="both"/>
              <w:rPr>
                <w:rFonts w:hint="eastAsia" w:ascii="宋体" w:hAnsi="宋体" w:cs="宋体"/>
                <w:color w:val="000000"/>
              </w:rPr>
            </w:pPr>
            <w:r>
              <w:rPr>
                <w:rFonts w:ascii="宋体" w:hAnsi="宋体" w:cs="宋体"/>
                <w:color w:val="000000"/>
              </w:rPr>
              <w:t>其它</w:t>
            </w:r>
          </w:p>
        </w:tc>
        <w:tc>
          <w:tcPr>
            <w:tcW w:w="1713" w:type="dxa"/>
            <w:vAlign w:val="center"/>
          </w:tcPr>
          <w:p w14:paraId="1364D611">
            <w:pPr>
              <w:widowControl/>
              <w:spacing w:line="360" w:lineRule="auto"/>
              <w:jc w:val="center"/>
              <w:rPr>
                <w:rFonts w:hint="eastAsia" w:ascii="宋体" w:hAnsi="宋体" w:cs="宋体"/>
                <w:color w:val="000000"/>
              </w:rPr>
            </w:pPr>
          </w:p>
        </w:tc>
        <w:tc>
          <w:tcPr>
            <w:tcW w:w="935" w:type="dxa"/>
            <w:vAlign w:val="center"/>
          </w:tcPr>
          <w:p w14:paraId="1E750D17">
            <w:pPr>
              <w:widowControl/>
              <w:spacing w:line="360" w:lineRule="auto"/>
              <w:jc w:val="center"/>
              <w:rPr>
                <w:rFonts w:hint="eastAsia" w:ascii="宋体" w:hAnsi="宋体" w:cs="宋体"/>
                <w:color w:val="000000"/>
              </w:rPr>
            </w:pPr>
          </w:p>
        </w:tc>
        <w:tc>
          <w:tcPr>
            <w:tcW w:w="933" w:type="dxa"/>
            <w:vAlign w:val="center"/>
          </w:tcPr>
          <w:p w14:paraId="0B83E6B4">
            <w:pPr>
              <w:widowControl/>
              <w:spacing w:line="360" w:lineRule="auto"/>
              <w:jc w:val="center"/>
              <w:rPr>
                <w:rFonts w:hint="eastAsia" w:ascii="宋体" w:hAnsi="宋体" w:cs="宋体"/>
                <w:color w:val="000000"/>
              </w:rPr>
            </w:pPr>
          </w:p>
        </w:tc>
        <w:tc>
          <w:tcPr>
            <w:tcW w:w="1402" w:type="dxa"/>
            <w:vAlign w:val="center"/>
          </w:tcPr>
          <w:p w14:paraId="5E363578">
            <w:pPr>
              <w:widowControl/>
              <w:spacing w:line="360" w:lineRule="auto"/>
              <w:jc w:val="center"/>
              <w:rPr>
                <w:rFonts w:hint="eastAsia" w:ascii="宋体" w:hAnsi="宋体" w:cs="宋体"/>
                <w:color w:val="000000"/>
              </w:rPr>
            </w:pPr>
          </w:p>
        </w:tc>
        <w:tc>
          <w:tcPr>
            <w:tcW w:w="1253" w:type="dxa"/>
            <w:tcBorders>
              <w:left w:val="single" w:color="auto" w:sz="4" w:space="0"/>
            </w:tcBorders>
          </w:tcPr>
          <w:p w14:paraId="60AE31A1">
            <w:pPr>
              <w:widowControl/>
              <w:spacing w:line="360" w:lineRule="auto"/>
              <w:jc w:val="center"/>
              <w:rPr>
                <w:rFonts w:hint="eastAsia" w:ascii="宋体" w:hAnsi="宋体" w:cs="宋体"/>
                <w:color w:val="000000"/>
              </w:rPr>
            </w:pPr>
          </w:p>
        </w:tc>
      </w:tr>
    </w:tbl>
    <w:p w14:paraId="0AB0C7D6">
      <w:pPr>
        <w:widowControl/>
        <w:autoSpaceDE w:val="0"/>
        <w:autoSpaceDN w:val="0"/>
        <w:snapToGrid w:val="0"/>
        <w:spacing w:line="360" w:lineRule="auto"/>
        <w:jc w:val="center"/>
        <w:textAlignment w:val="bottom"/>
        <w:rPr>
          <w:rFonts w:ascii="Arial" w:hAnsi="Arial" w:cs="Arial"/>
          <w:b/>
          <w:szCs w:val="24"/>
        </w:rPr>
      </w:pPr>
    </w:p>
    <w:p w14:paraId="3AEF195C">
      <w:pPr>
        <w:widowControl/>
        <w:autoSpaceDE w:val="0"/>
        <w:autoSpaceDN w:val="0"/>
        <w:snapToGrid w:val="0"/>
        <w:spacing w:line="360" w:lineRule="auto"/>
        <w:jc w:val="center"/>
        <w:textAlignment w:val="bottom"/>
        <w:rPr>
          <w:rFonts w:ascii="Arial" w:hAnsi="Arial" w:cs="Arial"/>
          <w:b/>
          <w:szCs w:val="24"/>
        </w:rPr>
      </w:pPr>
    </w:p>
    <w:p w14:paraId="01ACB63E">
      <w:pPr>
        <w:widowControl/>
        <w:autoSpaceDE w:val="0"/>
        <w:autoSpaceDN w:val="0"/>
        <w:snapToGrid w:val="0"/>
        <w:spacing w:line="360" w:lineRule="auto"/>
        <w:jc w:val="center"/>
        <w:textAlignment w:val="bottom"/>
        <w:rPr>
          <w:rFonts w:ascii="Arial" w:hAnsi="Arial" w:cs="Arial"/>
          <w:b/>
          <w:szCs w:val="24"/>
        </w:rPr>
      </w:pPr>
    </w:p>
    <w:p w14:paraId="59D81781">
      <w:pPr>
        <w:widowControl/>
        <w:autoSpaceDE w:val="0"/>
        <w:autoSpaceDN w:val="0"/>
        <w:snapToGrid w:val="0"/>
        <w:spacing w:line="360" w:lineRule="auto"/>
        <w:jc w:val="center"/>
        <w:textAlignment w:val="bottom"/>
        <w:rPr>
          <w:rFonts w:ascii="Arial" w:hAnsi="Arial" w:cs="Arial"/>
          <w:b/>
          <w:szCs w:val="24"/>
        </w:rPr>
      </w:pPr>
    </w:p>
    <w:p w14:paraId="520A856F">
      <w:pPr>
        <w:widowControl/>
        <w:autoSpaceDE w:val="0"/>
        <w:autoSpaceDN w:val="0"/>
        <w:snapToGrid w:val="0"/>
        <w:spacing w:line="360" w:lineRule="auto"/>
        <w:jc w:val="center"/>
        <w:textAlignment w:val="bottom"/>
        <w:rPr>
          <w:rFonts w:ascii="Arial" w:hAnsi="Arial" w:cs="Arial"/>
          <w:b/>
          <w:szCs w:val="24"/>
        </w:rPr>
      </w:pPr>
    </w:p>
    <w:p w14:paraId="78ADCE6F">
      <w:pPr>
        <w:widowControl/>
        <w:autoSpaceDE w:val="0"/>
        <w:autoSpaceDN w:val="0"/>
        <w:snapToGrid w:val="0"/>
        <w:spacing w:line="360" w:lineRule="auto"/>
        <w:jc w:val="center"/>
        <w:textAlignment w:val="bottom"/>
        <w:rPr>
          <w:rFonts w:ascii="Arial" w:hAnsi="Arial" w:cs="Arial"/>
          <w:b/>
          <w:szCs w:val="24"/>
        </w:rPr>
      </w:pPr>
    </w:p>
    <w:p w14:paraId="3ED573BB"/>
    <w:p w14:paraId="1DC5AD12">
      <w:pPr>
        <w:widowControl/>
        <w:autoSpaceDE w:val="0"/>
        <w:autoSpaceDN w:val="0"/>
        <w:snapToGrid w:val="0"/>
        <w:spacing w:line="360" w:lineRule="auto"/>
        <w:jc w:val="center"/>
        <w:textAlignment w:val="bottom"/>
        <w:rPr>
          <w:rFonts w:ascii="Arial" w:hAnsi="Arial" w:cs="Arial"/>
          <w:b/>
          <w:szCs w:val="24"/>
        </w:rPr>
      </w:pPr>
    </w:p>
    <w:p w14:paraId="438D40BD">
      <w:pPr>
        <w:pStyle w:val="2"/>
        <w:spacing w:before="120" w:beforeLines="50" w:after="120" w:afterLines="50" w:line="360" w:lineRule="auto"/>
        <w:jc w:val="left"/>
        <w:rPr>
          <w:rStyle w:val="48"/>
          <w:rFonts w:hint="eastAsia"/>
          <w:color w:val="auto"/>
          <w:sz w:val="30"/>
          <w:szCs w:val="30"/>
          <w:u w:val="none"/>
        </w:rPr>
      </w:pPr>
      <w:bookmarkStart w:id="50" w:name="_Toc148499940"/>
      <w:bookmarkStart w:id="51" w:name="_Toc31033"/>
      <w:r>
        <w:rPr>
          <w:rStyle w:val="48"/>
          <w:color w:val="auto"/>
          <w:sz w:val="30"/>
          <w:szCs w:val="30"/>
          <w:u w:val="none"/>
        </w:rPr>
        <w:t xml:space="preserve">附件3   </w:t>
      </w:r>
      <w:bookmarkEnd w:id="50"/>
      <w:r>
        <w:rPr>
          <w:rStyle w:val="48"/>
          <w:color w:val="auto"/>
          <w:sz w:val="30"/>
          <w:szCs w:val="30"/>
          <w:u w:val="none"/>
        </w:rPr>
        <w:t>技术</w:t>
      </w:r>
      <w:r>
        <w:rPr>
          <w:rStyle w:val="48"/>
          <w:rFonts w:hint="eastAsia"/>
          <w:color w:val="auto"/>
          <w:sz w:val="30"/>
          <w:szCs w:val="30"/>
          <w:u w:val="none"/>
        </w:rPr>
        <w:t>资料</w:t>
      </w:r>
      <w:bookmarkEnd w:id="51"/>
    </w:p>
    <w:p w14:paraId="1CF96B27">
      <w:pPr>
        <w:pStyle w:val="3"/>
        <w:rPr>
          <w:rFonts w:ascii="Arial" w:cs="Arial"/>
          <w:sz w:val="24"/>
          <w:szCs w:val="24"/>
        </w:rPr>
      </w:pPr>
      <w:bookmarkStart w:id="52" w:name="_Toc492130996"/>
      <w:r>
        <w:rPr>
          <w:rFonts w:ascii="Arial" w:cs="Arial"/>
          <w:sz w:val="24"/>
          <w:szCs w:val="24"/>
        </w:rPr>
        <w:t>1一般要求</w:t>
      </w:r>
      <w:bookmarkEnd w:id="52"/>
    </w:p>
    <w:p w14:paraId="27907E80">
      <w:pPr>
        <w:widowControl/>
        <w:autoSpaceDE w:val="0"/>
        <w:autoSpaceDN w:val="0"/>
        <w:snapToGrid w:val="0"/>
        <w:spacing w:line="360" w:lineRule="auto"/>
        <w:textAlignment w:val="bottom"/>
      </w:pPr>
      <w:r>
        <w:rPr>
          <w:rFonts w:hint="eastAsia"/>
        </w:rPr>
        <w:t>1.1 投标人</w:t>
      </w:r>
      <w:r>
        <w:t>提供的资料应使用</w:t>
      </w:r>
      <w:r>
        <w:rPr>
          <w:rFonts w:hint="eastAsia"/>
        </w:rPr>
        <w:t>国际单位制（SI）</w:t>
      </w:r>
      <w:r>
        <w:t>单位。技术资料和图纸的文种为中文。外方提供的图纸和资料应翻译成中文随同原文一并提交</w:t>
      </w:r>
      <w:r>
        <w:rPr>
          <w:rFonts w:hint="eastAsia"/>
        </w:rPr>
        <w:t>招标人</w:t>
      </w:r>
      <w:r>
        <w:t>。图纸资料以中文为准，图纸资料除提供书面文件外还应提供光盘。图纸应为AutoCAD</w:t>
      </w:r>
      <w:r>
        <w:rPr>
          <w:rFonts w:hint="eastAsia"/>
        </w:rPr>
        <w:t xml:space="preserve"> 2004版</w:t>
      </w:r>
      <w:r>
        <w:t>格式，文本文件应Word/Excel</w:t>
      </w:r>
      <w:r>
        <w:rPr>
          <w:rFonts w:hint="eastAsia"/>
        </w:rPr>
        <w:t>2003版</w:t>
      </w:r>
      <w:r>
        <w:t>格式</w:t>
      </w:r>
      <w:r>
        <w:rPr>
          <w:rFonts w:hint="eastAsia"/>
        </w:rPr>
        <w:t>，使用的字库文件应一同提交</w:t>
      </w:r>
      <w:r>
        <w:t>。</w:t>
      </w:r>
    </w:p>
    <w:p w14:paraId="6D51CB57">
      <w:pPr>
        <w:widowControl/>
        <w:autoSpaceDE w:val="0"/>
        <w:autoSpaceDN w:val="0"/>
        <w:snapToGrid w:val="0"/>
        <w:spacing w:line="360" w:lineRule="auto"/>
        <w:textAlignment w:val="bottom"/>
      </w:pPr>
      <w:r>
        <w:rPr>
          <w:rFonts w:hint="eastAsia"/>
        </w:rPr>
        <w:t>1.2 资料的组织结构清晰、逻辑性强。资料内容正确、准确、一致、清晰完整，满足工程要求。</w:t>
      </w:r>
    </w:p>
    <w:p w14:paraId="75F2B673">
      <w:pPr>
        <w:widowControl/>
        <w:autoSpaceDE w:val="0"/>
        <w:autoSpaceDN w:val="0"/>
        <w:snapToGrid w:val="0"/>
        <w:spacing w:line="360" w:lineRule="auto"/>
        <w:textAlignment w:val="bottom"/>
      </w:pPr>
      <w:r>
        <w:rPr>
          <w:rFonts w:hint="eastAsia"/>
        </w:rPr>
        <w:t>1</w:t>
      </w:r>
      <w:r>
        <w:t>.</w:t>
      </w:r>
      <w:r>
        <w:rPr>
          <w:rFonts w:hint="eastAsia"/>
        </w:rPr>
        <w:t>3 投标人资料的提交及时、充分，满足工程进度要求。</w:t>
      </w:r>
      <w:r>
        <w:t>在合同签订后</w:t>
      </w:r>
      <w:r>
        <w:rPr>
          <w:rFonts w:hint="eastAsia"/>
        </w:rPr>
        <w:t>15天</w:t>
      </w:r>
      <w:r>
        <w:t>内提交主要技术资料清单及满足工程设计的图纸资料。</w:t>
      </w:r>
    </w:p>
    <w:p w14:paraId="7B4E3EB4">
      <w:pPr>
        <w:widowControl/>
        <w:autoSpaceDE w:val="0"/>
        <w:autoSpaceDN w:val="0"/>
        <w:snapToGrid w:val="0"/>
        <w:spacing w:line="360" w:lineRule="auto"/>
        <w:textAlignment w:val="bottom"/>
      </w:pPr>
      <w:r>
        <w:rPr>
          <w:rFonts w:hint="eastAsia"/>
        </w:rPr>
        <w:t>1</w:t>
      </w:r>
      <w:r>
        <w:t>.</w:t>
      </w:r>
      <w:r>
        <w:rPr>
          <w:rFonts w:hint="eastAsia"/>
        </w:rPr>
        <w:t>4 投标人提供的技术资料分为投标阶段，配合设计阶段，设备监造检验、施工调试试运、性能试验验收和运行维护等四个方面。最终资料提交后不得任意修改，设备到货后与所提资料不符所造成的一切返工和损失由投标人负责赔偿。</w:t>
      </w:r>
    </w:p>
    <w:p w14:paraId="03C87302">
      <w:pPr>
        <w:widowControl/>
        <w:autoSpaceDE w:val="0"/>
        <w:autoSpaceDN w:val="0"/>
        <w:snapToGrid w:val="0"/>
        <w:spacing w:line="360" w:lineRule="auto"/>
        <w:textAlignment w:val="bottom"/>
      </w:pPr>
      <w:r>
        <w:rPr>
          <w:rFonts w:hint="eastAsia"/>
        </w:rPr>
        <w:t>1.5 对于其它没有列入合同技术资料清单，却是工程所必需文件和资料，一经发现，投标人应及时免费提供。本期工程为多台设备构成，后续设备有改进时，投标人也应及时免费提供新的技术资料。</w:t>
      </w:r>
    </w:p>
    <w:p w14:paraId="3BF0D1B1">
      <w:pPr>
        <w:widowControl/>
        <w:autoSpaceDE w:val="0"/>
        <w:autoSpaceDN w:val="0"/>
        <w:snapToGrid w:val="0"/>
        <w:spacing w:line="360" w:lineRule="auto"/>
        <w:textAlignment w:val="bottom"/>
      </w:pPr>
      <w:r>
        <w:rPr>
          <w:rFonts w:hint="eastAsia"/>
        </w:rPr>
        <w:t>1.6 投标人要及时提供与合同设备设计制造有关的资料。</w:t>
      </w:r>
    </w:p>
    <w:p w14:paraId="20A95576">
      <w:pPr>
        <w:widowControl/>
        <w:autoSpaceDE w:val="0"/>
        <w:autoSpaceDN w:val="0"/>
        <w:snapToGrid w:val="0"/>
        <w:spacing w:line="360" w:lineRule="auto"/>
        <w:textAlignment w:val="bottom"/>
      </w:pPr>
      <w:r>
        <w:t xml:space="preserve">1.7 </w:t>
      </w:r>
      <w:r>
        <w:rPr>
          <w:rFonts w:hint="eastAsia"/>
        </w:rPr>
        <w:t>投标人</w:t>
      </w:r>
      <w:r>
        <w:t>提供的技术资料</w:t>
      </w:r>
      <w:r>
        <w:rPr>
          <w:rFonts w:hint="eastAsia"/>
        </w:rPr>
        <w:t>套数：</w:t>
      </w:r>
    </w:p>
    <w:p w14:paraId="1B404166">
      <w:pPr>
        <w:widowControl/>
        <w:autoSpaceDE w:val="0"/>
        <w:autoSpaceDN w:val="0"/>
        <w:snapToGrid w:val="0"/>
        <w:spacing w:line="360" w:lineRule="auto"/>
        <w:textAlignment w:val="bottom"/>
      </w:pPr>
      <w:r>
        <w:rPr>
          <w:rFonts w:hint="eastAsia"/>
        </w:rPr>
        <w:t>1.7.1 配合工程设计用的资料为本期工程7套及相应的电子版本资料2套。</w:t>
      </w:r>
    </w:p>
    <w:p w14:paraId="0B199C02">
      <w:pPr>
        <w:widowControl/>
        <w:autoSpaceDE w:val="0"/>
        <w:autoSpaceDN w:val="0"/>
        <w:snapToGrid w:val="0"/>
        <w:spacing w:line="360" w:lineRule="auto"/>
        <w:textAlignment w:val="bottom"/>
      </w:pPr>
      <w:r>
        <w:rPr>
          <w:rFonts w:hint="eastAsia"/>
        </w:rPr>
        <w:t>1.7.2 投标人提供最终版安装、调试、运行技术资料、维护说明书(手册)、培训手册等为每台机组18套纸质文件（随机2套，设计院4套，招标人12套），电子文件每台机组4套（设计院1套，招标人3套）。</w:t>
      </w:r>
    </w:p>
    <w:p w14:paraId="7082A3CF">
      <w:pPr>
        <w:widowControl/>
        <w:autoSpaceDE w:val="0"/>
        <w:autoSpaceDN w:val="0"/>
        <w:snapToGrid w:val="0"/>
        <w:spacing w:line="360" w:lineRule="auto"/>
        <w:textAlignment w:val="bottom"/>
      </w:pPr>
      <w:r>
        <w:rPr>
          <w:rFonts w:hint="eastAsia"/>
        </w:rPr>
        <w:t>1.7.3 投标人在工程竣工后提供竣工图12套（每台机组）及相应的电子版本5套，电子版为U盘。</w:t>
      </w:r>
    </w:p>
    <w:p w14:paraId="5ED3270C">
      <w:pPr>
        <w:widowControl/>
        <w:autoSpaceDE w:val="0"/>
        <w:autoSpaceDN w:val="0"/>
        <w:snapToGrid w:val="0"/>
        <w:spacing w:line="360" w:lineRule="auto"/>
        <w:textAlignment w:val="bottom"/>
      </w:pPr>
      <w:r>
        <w:t>1.</w:t>
      </w:r>
      <w:r>
        <w:rPr>
          <w:rFonts w:hint="eastAsia"/>
        </w:rPr>
        <w:t>8投标人</w:t>
      </w:r>
      <w:r>
        <w:t>提供的图纸应清晰，不得提供缩微复印的图纸</w:t>
      </w:r>
      <w:r>
        <w:rPr>
          <w:rFonts w:hint="eastAsia"/>
        </w:rPr>
        <w:t>，所有图纸必须完全符合所供的系统，并及时反映出目前工程设计进度，所有资料均应装订，并标明修改的版本号和日期。</w:t>
      </w:r>
    </w:p>
    <w:p w14:paraId="658DD218">
      <w:pPr>
        <w:widowControl/>
        <w:autoSpaceDE w:val="0"/>
        <w:autoSpaceDN w:val="0"/>
        <w:snapToGrid w:val="0"/>
        <w:spacing w:line="360" w:lineRule="auto"/>
        <w:textAlignment w:val="bottom"/>
        <w:rPr>
          <w:rFonts w:cs="Arial"/>
        </w:rPr>
      </w:pPr>
      <w:r>
        <w:rPr>
          <w:rFonts w:cs="Arial"/>
        </w:rPr>
        <w:t>1</w:t>
      </w:r>
      <w:r>
        <w:rPr>
          <w:rFonts w:hint="eastAsia" w:cs="Arial"/>
        </w:rPr>
        <w:t>.9 投标人应负责协调并安排与其它承包商所供控制系统间的接口资料交换进度。</w:t>
      </w:r>
    </w:p>
    <w:p w14:paraId="0CC1E1A7">
      <w:pPr>
        <w:widowControl/>
        <w:autoSpaceDE w:val="0"/>
        <w:autoSpaceDN w:val="0"/>
        <w:snapToGrid w:val="0"/>
        <w:spacing w:line="360" w:lineRule="auto"/>
        <w:ind w:firstLine="480" w:firstLineChars="200"/>
        <w:textAlignment w:val="bottom"/>
        <w:rPr>
          <w:rFonts w:cs="Arial"/>
        </w:rPr>
      </w:pPr>
      <w:r>
        <w:rPr>
          <w:rFonts w:hint="eastAsia" w:cs="Arial"/>
        </w:rPr>
        <w:t>投标人提供的所有技术文件（包括图纸）均应有本工程专用标识，即盖有“</w:t>
      </w:r>
      <w:r>
        <w:rPr>
          <w:rFonts w:hint="eastAsia"/>
          <w:b/>
        </w:rPr>
        <w:t>浙能嘉兴电厂四期扩建项目1</w:t>
      </w:r>
      <w:r>
        <w:rPr>
          <w:b/>
        </w:rPr>
        <w:t>0</w:t>
      </w:r>
      <w:r>
        <w:rPr>
          <w:rFonts w:hint="eastAsia"/>
          <w:b/>
        </w:rPr>
        <w:t>号机组</w:t>
      </w:r>
      <w:r>
        <w:rPr>
          <w:rFonts w:hint="eastAsia" w:cs="Arial"/>
        </w:rPr>
        <w:t>”图章，修改版资料对修改部分应有明显的标识或标注。快递、投标人直接携带、随机的技术文件应附有详细的目录清单。</w:t>
      </w:r>
    </w:p>
    <w:p w14:paraId="04FA6B9C">
      <w:pPr>
        <w:widowControl/>
        <w:tabs>
          <w:tab w:val="left" w:pos="425"/>
        </w:tabs>
        <w:autoSpaceDE w:val="0"/>
        <w:autoSpaceDN w:val="0"/>
        <w:snapToGrid w:val="0"/>
        <w:spacing w:line="360" w:lineRule="auto"/>
        <w:textAlignment w:val="bottom"/>
      </w:pPr>
      <w:r>
        <w:rPr>
          <w:rFonts w:hint="eastAsia"/>
        </w:rPr>
        <w:t>1.10 投标人按招标人的要求，编制所供设备的电厂标识系统编码。</w:t>
      </w:r>
    </w:p>
    <w:p w14:paraId="15FEEC08">
      <w:pPr>
        <w:pStyle w:val="3"/>
        <w:rPr>
          <w:rFonts w:ascii="Arial" w:cs="Arial"/>
          <w:sz w:val="24"/>
          <w:szCs w:val="24"/>
        </w:rPr>
      </w:pPr>
      <w:bookmarkStart w:id="53" w:name="_Toc492130997"/>
      <w:r>
        <w:rPr>
          <w:rFonts w:ascii="Arial" w:cs="Arial"/>
          <w:sz w:val="24"/>
          <w:szCs w:val="24"/>
        </w:rPr>
        <w:t>2资料提交的基本要求</w:t>
      </w:r>
      <w:bookmarkEnd w:id="53"/>
    </w:p>
    <w:p w14:paraId="6FB1B6C3">
      <w:pPr>
        <w:pStyle w:val="122"/>
      </w:pPr>
      <w:bookmarkStart w:id="54" w:name="_Toc470861345"/>
      <w:r>
        <w:rPr>
          <w:rFonts w:hint="eastAsia"/>
          <w:kern w:val="0"/>
          <w:sz w:val="24"/>
          <w:szCs w:val="20"/>
        </w:rPr>
        <w:t xml:space="preserve">2.1 </w:t>
      </w:r>
      <w:bookmarkEnd w:id="54"/>
      <w:r>
        <w:rPr>
          <w:rFonts w:hint="eastAsia" w:ascii="宋体" w:hAnsi="宋体"/>
          <w:kern w:val="0"/>
          <w:sz w:val="24"/>
          <w:szCs w:val="24"/>
        </w:rPr>
        <w:t>在投标阶段必须提供的资料（投标人可自行细化）。</w:t>
      </w:r>
    </w:p>
    <w:p w14:paraId="0FBD381A">
      <w:pPr>
        <w:pStyle w:val="31"/>
        <w:spacing w:line="360" w:lineRule="auto"/>
        <w:jc w:val="both"/>
        <w:rPr>
          <w:rFonts w:ascii="Times New Roman" w:hAnsi="Times New Roman" w:cs="Times New Roman"/>
          <w:b w:val="0"/>
          <w:bCs w:val="0"/>
          <w:kern w:val="0"/>
          <w:sz w:val="24"/>
          <w:szCs w:val="20"/>
        </w:rPr>
      </w:pPr>
      <w:bookmarkStart w:id="55" w:name="_Toc470861348"/>
      <w:r>
        <w:rPr>
          <w:rFonts w:hint="eastAsia" w:ascii="Times New Roman" w:hAnsi="Times New Roman"/>
          <w:b w:val="0"/>
          <w:bCs w:val="0"/>
          <w:kern w:val="0"/>
          <w:sz w:val="24"/>
          <w:szCs w:val="20"/>
        </w:rPr>
        <w:t xml:space="preserve">2.1.1 </w:t>
      </w:r>
      <w:r>
        <w:rPr>
          <w:rFonts w:hint="eastAsia" w:ascii="Times New Roman" w:hAnsi="Times New Roman" w:cs="Times New Roman"/>
          <w:b w:val="0"/>
          <w:bCs w:val="0"/>
          <w:kern w:val="0"/>
          <w:sz w:val="24"/>
          <w:szCs w:val="20"/>
        </w:rPr>
        <w:t>供货清单。</w:t>
      </w:r>
      <w:bookmarkEnd w:id="55"/>
    </w:p>
    <w:p w14:paraId="691DE83A">
      <w:pPr>
        <w:pStyle w:val="31"/>
        <w:spacing w:line="360" w:lineRule="auto"/>
        <w:jc w:val="both"/>
        <w:rPr>
          <w:rFonts w:ascii="Times New Roman" w:hAnsi="Times New Roman" w:cs="Times New Roman"/>
          <w:b w:val="0"/>
          <w:bCs w:val="0"/>
          <w:kern w:val="0"/>
          <w:sz w:val="24"/>
          <w:szCs w:val="20"/>
        </w:rPr>
      </w:pPr>
      <w:bookmarkStart w:id="56" w:name="_Toc470861349"/>
      <w:r>
        <w:rPr>
          <w:rFonts w:hint="eastAsia" w:ascii="Times New Roman" w:hAnsi="Times New Roman"/>
          <w:b w:val="0"/>
          <w:bCs w:val="0"/>
          <w:kern w:val="0"/>
          <w:sz w:val="24"/>
          <w:szCs w:val="20"/>
        </w:rPr>
        <w:t xml:space="preserve">2.1.2 </w:t>
      </w:r>
      <w:r>
        <w:rPr>
          <w:rFonts w:hint="eastAsia" w:ascii="Times New Roman" w:hAnsi="Times New Roman" w:cs="Times New Roman"/>
          <w:b w:val="0"/>
          <w:bCs w:val="0"/>
          <w:kern w:val="0"/>
          <w:sz w:val="24"/>
          <w:szCs w:val="20"/>
        </w:rPr>
        <w:t>厂家产品说明书（包括各种参数表）。</w:t>
      </w:r>
      <w:bookmarkEnd w:id="56"/>
    </w:p>
    <w:p w14:paraId="3B62EE69">
      <w:pPr>
        <w:pStyle w:val="31"/>
        <w:spacing w:line="360" w:lineRule="auto"/>
        <w:jc w:val="left"/>
        <w:rPr>
          <w:rFonts w:ascii="Times New Roman" w:hAnsi="Times New Roman" w:cs="Times New Roman"/>
          <w:b w:val="0"/>
          <w:bCs w:val="0"/>
          <w:kern w:val="0"/>
          <w:sz w:val="24"/>
          <w:szCs w:val="20"/>
        </w:rPr>
      </w:pPr>
      <w:bookmarkStart w:id="57" w:name="_Toc470861353"/>
      <w:r>
        <w:rPr>
          <w:rFonts w:hint="eastAsia" w:ascii="Times New Roman" w:hAnsi="Times New Roman"/>
          <w:b w:val="0"/>
          <w:bCs w:val="0"/>
          <w:kern w:val="0"/>
          <w:sz w:val="24"/>
          <w:szCs w:val="20"/>
        </w:rPr>
        <w:t xml:space="preserve">2.2 </w:t>
      </w:r>
      <w:r>
        <w:rPr>
          <w:rFonts w:hint="eastAsia" w:ascii="Times New Roman" w:hAnsi="Times New Roman" w:cs="Times New Roman"/>
          <w:b w:val="0"/>
          <w:bCs w:val="0"/>
          <w:kern w:val="0"/>
          <w:sz w:val="24"/>
          <w:szCs w:val="20"/>
        </w:rPr>
        <w:t>安装、调试、试运、验收和运行维护所需的技术资料（招标人提供具体清单和要求，投标人细化，招标人确认）。包括但不限于：</w:t>
      </w:r>
      <w:bookmarkEnd w:id="57"/>
    </w:p>
    <w:p w14:paraId="5D60F6DA">
      <w:pPr>
        <w:pStyle w:val="31"/>
        <w:spacing w:line="360" w:lineRule="auto"/>
        <w:jc w:val="both"/>
        <w:rPr>
          <w:rFonts w:ascii="Times New Roman" w:hAnsi="Times New Roman" w:cs="Times New Roman"/>
          <w:b w:val="0"/>
          <w:bCs w:val="0"/>
          <w:kern w:val="0"/>
          <w:sz w:val="24"/>
          <w:szCs w:val="20"/>
        </w:rPr>
      </w:pPr>
      <w:bookmarkStart w:id="58" w:name="_Toc470861354"/>
      <w:r>
        <w:rPr>
          <w:rFonts w:hint="eastAsia" w:ascii="Times New Roman" w:hAnsi="Times New Roman"/>
          <w:b w:val="0"/>
          <w:bCs w:val="0"/>
          <w:kern w:val="0"/>
          <w:sz w:val="24"/>
          <w:szCs w:val="20"/>
        </w:rPr>
        <w:t xml:space="preserve">2.2.1 </w:t>
      </w:r>
      <w:r>
        <w:rPr>
          <w:rFonts w:hint="eastAsia" w:ascii="Times New Roman" w:hAnsi="Times New Roman" w:cs="Times New Roman"/>
          <w:b w:val="0"/>
          <w:bCs w:val="0"/>
          <w:kern w:val="0"/>
          <w:sz w:val="24"/>
          <w:szCs w:val="20"/>
        </w:rPr>
        <w:t>提供设备运行、调试和试运说明书。</w:t>
      </w:r>
      <w:bookmarkEnd w:id="58"/>
    </w:p>
    <w:p w14:paraId="6BEAF8B0">
      <w:pPr>
        <w:pStyle w:val="31"/>
        <w:spacing w:line="360" w:lineRule="auto"/>
        <w:jc w:val="left"/>
        <w:rPr>
          <w:rFonts w:ascii="Times New Roman" w:hAnsi="Times New Roman" w:cs="Times New Roman"/>
          <w:b w:val="0"/>
          <w:bCs w:val="0"/>
          <w:kern w:val="0"/>
          <w:sz w:val="24"/>
          <w:szCs w:val="20"/>
        </w:rPr>
      </w:pPr>
      <w:bookmarkStart w:id="59" w:name="_Toc470861355"/>
      <w:r>
        <w:rPr>
          <w:rFonts w:hint="eastAsia" w:ascii="Times New Roman" w:hAnsi="Times New Roman"/>
          <w:b w:val="0"/>
          <w:bCs w:val="0"/>
          <w:kern w:val="0"/>
          <w:sz w:val="24"/>
          <w:szCs w:val="20"/>
        </w:rPr>
        <w:t xml:space="preserve">2.2.2 </w:t>
      </w:r>
      <w:r>
        <w:rPr>
          <w:rFonts w:hint="eastAsia" w:ascii="Times New Roman" w:hAnsi="Times New Roman" w:cs="Times New Roman"/>
          <w:b w:val="0"/>
          <w:bCs w:val="0"/>
          <w:kern w:val="0"/>
          <w:sz w:val="24"/>
          <w:szCs w:val="20"/>
        </w:rPr>
        <w:t>运行、维护、检修需详尽图纸和的技术资料（系统配置说明书、硬件配置图、设备清册(包括名称、型号规范、安装地点、数量、生产厂家等)）。</w:t>
      </w:r>
      <w:bookmarkEnd w:id="59"/>
    </w:p>
    <w:p w14:paraId="30535C91">
      <w:pPr>
        <w:pStyle w:val="31"/>
        <w:spacing w:line="360" w:lineRule="auto"/>
        <w:jc w:val="both"/>
        <w:rPr>
          <w:rFonts w:ascii="Times New Roman" w:hAnsi="Times New Roman" w:cs="Times New Roman"/>
          <w:b w:val="0"/>
          <w:bCs w:val="0"/>
          <w:kern w:val="0"/>
          <w:sz w:val="24"/>
          <w:szCs w:val="20"/>
        </w:rPr>
      </w:pPr>
      <w:bookmarkStart w:id="60" w:name="_Toc470861356"/>
      <w:r>
        <w:rPr>
          <w:rFonts w:hint="eastAsia" w:ascii="Times New Roman" w:hAnsi="Times New Roman"/>
          <w:b w:val="0"/>
          <w:bCs w:val="0"/>
          <w:kern w:val="0"/>
          <w:sz w:val="24"/>
          <w:szCs w:val="20"/>
        </w:rPr>
        <w:t xml:space="preserve">2.2.3 </w:t>
      </w:r>
      <w:r>
        <w:rPr>
          <w:rFonts w:hint="eastAsia" w:ascii="Times New Roman" w:hAnsi="Times New Roman" w:cs="Times New Roman"/>
          <w:b w:val="0"/>
          <w:bCs w:val="0"/>
          <w:kern w:val="0"/>
          <w:sz w:val="24"/>
          <w:szCs w:val="20"/>
        </w:rPr>
        <w:t>设备安装、运行、维护说明书。</w:t>
      </w:r>
      <w:bookmarkEnd w:id="60"/>
    </w:p>
    <w:p w14:paraId="0912FE6C">
      <w:pPr>
        <w:pStyle w:val="31"/>
        <w:spacing w:line="360" w:lineRule="auto"/>
        <w:jc w:val="left"/>
        <w:rPr>
          <w:rFonts w:ascii="Times New Roman" w:hAnsi="Times New Roman" w:cs="Times New Roman"/>
          <w:b w:val="0"/>
          <w:bCs w:val="0"/>
          <w:kern w:val="0"/>
          <w:sz w:val="24"/>
          <w:szCs w:val="20"/>
        </w:rPr>
      </w:pPr>
      <w:bookmarkStart w:id="61" w:name="_Toc470861358"/>
      <w:r>
        <w:rPr>
          <w:rFonts w:hint="eastAsia" w:ascii="Times New Roman" w:hAnsi="Times New Roman"/>
          <w:b w:val="0"/>
          <w:bCs w:val="0"/>
          <w:kern w:val="0"/>
          <w:sz w:val="24"/>
          <w:szCs w:val="20"/>
        </w:rPr>
        <w:t xml:space="preserve">2.3 </w:t>
      </w:r>
      <w:r>
        <w:rPr>
          <w:rFonts w:hint="eastAsia" w:ascii="Times New Roman" w:hAnsi="Times New Roman" w:cs="Times New Roman"/>
          <w:b w:val="0"/>
          <w:bCs w:val="0"/>
          <w:kern w:val="0"/>
          <w:sz w:val="24"/>
          <w:szCs w:val="20"/>
        </w:rPr>
        <w:t>投标人提供的其它技术资料(招标人提供具体清单和要求，投标人细化，招标人确认）。包括但不限于：</w:t>
      </w:r>
      <w:bookmarkEnd w:id="61"/>
    </w:p>
    <w:p w14:paraId="38B71D3F">
      <w:pPr>
        <w:pStyle w:val="31"/>
        <w:spacing w:line="360" w:lineRule="auto"/>
        <w:jc w:val="both"/>
        <w:rPr>
          <w:rFonts w:ascii="Times New Roman" w:hAnsi="Times New Roman" w:cs="Times New Roman"/>
          <w:b w:val="0"/>
          <w:bCs w:val="0"/>
          <w:kern w:val="0"/>
          <w:sz w:val="24"/>
          <w:szCs w:val="20"/>
        </w:rPr>
      </w:pPr>
      <w:bookmarkStart w:id="62" w:name="_Toc470861359"/>
      <w:r>
        <w:rPr>
          <w:rFonts w:hint="eastAsia" w:ascii="Times New Roman" w:hAnsi="Times New Roman"/>
          <w:b w:val="0"/>
          <w:bCs w:val="0"/>
          <w:kern w:val="0"/>
          <w:sz w:val="24"/>
          <w:szCs w:val="20"/>
        </w:rPr>
        <w:t xml:space="preserve">2.3.1 </w:t>
      </w:r>
      <w:r>
        <w:rPr>
          <w:rFonts w:hint="eastAsia" w:ascii="Times New Roman" w:hAnsi="Times New Roman" w:cs="Times New Roman"/>
          <w:b w:val="0"/>
          <w:bCs w:val="0"/>
          <w:kern w:val="0"/>
          <w:sz w:val="24"/>
          <w:szCs w:val="20"/>
        </w:rPr>
        <w:t>检查记录、试验报告及质量合格等出厂报告。</w:t>
      </w:r>
      <w:bookmarkEnd w:id="62"/>
    </w:p>
    <w:p w14:paraId="63E9D393"/>
    <w:p w14:paraId="1C669881"/>
    <w:p w14:paraId="26F54822"/>
    <w:p w14:paraId="2ADD0DD4"/>
    <w:p w14:paraId="7D6850CF"/>
    <w:p w14:paraId="25F10A64"/>
    <w:p w14:paraId="2B28551A"/>
    <w:p w14:paraId="455597D1"/>
    <w:p w14:paraId="7FAE10CD"/>
    <w:p w14:paraId="53C78D8B">
      <w:pPr>
        <w:pStyle w:val="2"/>
        <w:spacing w:before="120" w:beforeLines="50" w:after="120" w:afterLines="50" w:line="360" w:lineRule="auto"/>
        <w:jc w:val="left"/>
        <w:rPr>
          <w:rStyle w:val="48"/>
          <w:rFonts w:hint="eastAsia"/>
          <w:color w:val="auto"/>
          <w:sz w:val="30"/>
          <w:szCs w:val="30"/>
        </w:rPr>
      </w:pPr>
      <w:bookmarkStart w:id="63" w:name="_Toc18427"/>
      <w:r>
        <w:rPr>
          <w:rStyle w:val="48"/>
          <w:color w:val="auto"/>
          <w:sz w:val="30"/>
          <w:szCs w:val="30"/>
          <w:u w:val="none"/>
        </w:rPr>
        <w:t>附件4  设备交货进度</w:t>
      </w:r>
      <w:bookmarkEnd w:id="63"/>
    </w:p>
    <w:p w14:paraId="298DFE1D">
      <w:pPr>
        <w:spacing w:before="50" w:after="50"/>
        <w:jc w:val="center"/>
        <w:rPr>
          <w:b/>
        </w:rPr>
      </w:pPr>
      <w:r>
        <w:rPr>
          <w:rFonts w:hint="eastAsia"/>
          <w:b/>
        </w:rPr>
        <w:t>交货进度表</w:t>
      </w:r>
    </w:p>
    <w:p w14:paraId="475A7899">
      <w:pPr>
        <w:tabs>
          <w:tab w:val="left" w:pos="630"/>
        </w:tabs>
        <w:spacing w:before="50" w:after="50"/>
      </w:pPr>
    </w:p>
    <w:tbl>
      <w:tblPr>
        <w:tblStyle w:val="42"/>
        <w:tblW w:w="8843"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509"/>
        <w:gridCol w:w="2826"/>
        <w:gridCol w:w="3072"/>
        <w:gridCol w:w="2436"/>
      </w:tblGrid>
      <w:tr w14:paraId="20950A1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467" w:hRule="atLeast"/>
          <w:jc w:val="center"/>
        </w:trPr>
        <w:tc>
          <w:tcPr>
            <w:tcW w:w="509" w:type="dxa"/>
            <w:tcBorders>
              <w:top w:val="single" w:color="auto" w:sz="12" w:space="0"/>
              <w:left w:val="single" w:color="auto" w:sz="12" w:space="0"/>
              <w:right w:val="single" w:color="auto" w:sz="6" w:space="0"/>
            </w:tcBorders>
            <w:vAlign w:val="center"/>
          </w:tcPr>
          <w:p w14:paraId="74D16C28">
            <w:pPr>
              <w:spacing w:before="163"/>
              <w:jc w:val="center"/>
              <w:rPr>
                <w:b/>
              </w:rPr>
            </w:pPr>
            <w:r>
              <w:rPr>
                <w:rFonts w:hint="eastAsia"/>
                <w:b/>
              </w:rPr>
              <w:t>序号</w:t>
            </w:r>
          </w:p>
        </w:tc>
        <w:tc>
          <w:tcPr>
            <w:tcW w:w="2826" w:type="dxa"/>
            <w:tcBorders>
              <w:top w:val="single" w:color="auto" w:sz="12" w:space="0"/>
              <w:left w:val="nil"/>
              <w:right w:val="single" w:color="auto" w:sz="6" w:space="0"/>
            </w:tcBorders>
            <w:vAlign w:val="center"/>
          </w:tcPr>
          <w:p w14:paraId="212F2DEC">
            <w:pPr>
              <w:spacing w:before="163"/>
              <w:jc w:val="center"/>
              <w:rPr>
                <w:b/>
              </w:rPr>
            </w:pPr>
            <w:r>
              <w:rPr>
                <w:rFonts w:hint="eastAsia"/>
                <w:b/>
              </w:rPr>
              <w:t>设备</w:t>
            </w:r>
            <w:r>
              <w:rPr>
                <w:b/>
              </w:rPr>
              <w:t>/</w:t>
            </w:r>
            <w:r>
              <w:rPr>
                <w:rFonts w:hint="eastAsia"/>
                <w:b/>
              </w:rPr>
              <w:t>部件</w:t>
            </w:r>
          </w:p>
          <w:p w14:paraId="2A018616">
            <w:pPr>
              <w:spacing w:before="163"/>
              <w:jc w:val="center"/>
              <w:rPr>
                <w:b/>
              </w:rPr>
            </w:pPr>
            <w:r>
              <w:rPr>
                <w:rFonts w:hint="eastAsia"/>
                <w:b/>
              </w:rPr>
              <w:t>名称、型号</w:t>
            </w:r>
          </w:p>
        </w:tc>
        <w:tc>
          <w:tcPr>
            <w:tcW w:w="3072" w:type="dxa"/>
            <w:tcBorders>
              <w:top w:val="single" w:color="auto" w:sz="12" w:space="0"/>
              <w:left w:val="nil"/>
              <w:bottom w:val="single" w:color="000000" w:sz="6" w:space="0"/>
              <w:right w:val="single" w:color="auto" w:sz="4" w:space="0"/>
            </w:tcBorders>
            <w:vAlign w:val="center"/>
          </w:tcPr>
          <w:p w14:paraId="1781BB2F">
            <w:pPr>
              <w:spacing w:before="163"/>
              <w:jc w:val="center"/>
              <w:rPr>
                <w:b/>
              </w:rPr>
            </w:pPr>
            <w:r>
              <w:rPr>
                <w:rFonts w:hint="eastAsia"/>
                <w:b/>
              </w:rPr>
              <w:t>交货地点</w:t>
            </w:r>
          </w:p>
        </w:tc>
        <w:tc>
          <w:tcPr>
            <w:tcW w:w="2436" w:type="dxa"/>
            <w:tcBorders>
              <w:top w:val="single" w:color="auto" w:sz="12" w:space="0"/>
              <w:left w:val="single" w:color="auto" w:sz="4" w:space="0"/>
              <w:bottom w:val="single" w:color="000000" w:sz="6" w:space="0"/>
              <w:right w:val="single" w:color="auto" w:sz="12" w:space="0"/>
            </w:tcBorders>
            <w:vAlign w:val="center"/>
          </w:tcPr>
          <w:p w14:paraId="66F6AE99">
            <w:pPr>
              <w:spacing w:before="163"/>
              <w:jc w:val="center"/>
              <w:rPr>
                <w:b/>
              </w:rPr>
            </w:pPr>
            <w:r>
              <w:rPr>
                <w:rFonts w:hint="eastAsia"/>
                <w:b/>
              </w:rPr>
              <w:t>交货时间</w:t>
            </w:r>
          </w:p>
        </w:tc>
      </w:tr>
      <w:tr w14:paraId="68500D2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967" w:hRule="atLeast"/>
          <w:jc w:val="center"/>
        </w:trPr>
        <w:tc>
          <w:tcPr>
            <w:tcW w:w="509" w:type="dxa"/>
            <w:tcBorders>
              <w:top w:val="single" w:color="auto" w:sz="4" w:space="0"/>
              <w:left w:val="single" w:color="auto" w:sz="12" w:space="0"/>
              <w:bottom w:val="single" w:color="auto" w:sz="4" w:space="0"/>
              <w:right w:val="single" w:color="auto" w:sz="4" w:space="0"/>
            </w:tcBorders>
            <w:vAlign w:val="center"/>
          </w:tcPr>
          <w:p w14:paraId="10B0B40E">
            <w:pPr>
              <w:spacing w:before="163"/>
              <w:jc w:val="center"/>
            </w:pPr>
            <w:r>
              <w:rPr>
                <w:rFonts w:hint="eastAsia"/>
              </w:rPr>
              <w:t>1</w:t>
            </w:r>
          </w:p>
        </w:tc>
        <w:tc>
          <w:tcPr>
            <w:tcW w:w="2826" w:type="dxa"/>
            <w:tcBorders>
              <w:top w:val="single" w:color="auto" w:sz="4" w:space="0"/>
              <w:left w:val="single" w:color="auto" w:sz="4" w:space="0"/>
              <w:bottom w:val="single" w:color="auto" w:sz="2" w:space="0"/>
              <w:right w:val="single" w:color="auto" w:sz="4" w:space="0"/>
            </w:tcBorders>
            <w:vAlign w:val="center"/>
          </w:tcPr>
          <w:p w14:paraId="65F82A31">
            <w:pPr>
              <w:spacing w:before="163"/>
              <w:jc w:val="center"/>
            </w:pPr>
            <w:r>
              <w:rPr>
                <w:rFonts w:hint="eastAsia"/>
              </w:rPr>
              <w:t>集控室LED大屏显示系统全套</w:t>
            </w:r>
          </w:p>
        </w:tc>
        <w:tc>
          <w:tcPr>
            <w:tcW w:w="3072" w:type="dxa"/>
            <w:tcBorders>
              <w:left w:val="single" w:color="auto" w:sz="4" w:space="0"/>
              <w:right w:val="single" w:color="auto" w:sz="4" w:space="0"/>
            </w:tcBorders>
            <w:vAlign w:val="center"/>
          </w:tcPr>
          <w:p w14:paraId="7C7780F9">
            <w:pPr>
              <w:spacing w:before="163"/>
              <w:jc w:val="center"/>
            </w:pPr>
            <w:r>
              <w:rPr>
                <w:rFonts w:hint="eastAsia"/>
              </w:rPr>
              <w:t>浙能嘉兴电厂四期扩建项目1</w:t>
            </w:r>
            <w:r>
              <w:t>0</w:t>
            </w:r>
            <w:r>
              <w:rPr>
                <w:rFonts w:hint="eastAsia"/>
              </w:rPr>
              <w:t>号机组工程现场</w:t>
            </w:r>
          </w:p>
        </w:tc>
        <w:tc>
          <w:tcPr>
            <w:tcW w:w="2436" w:type="dxa"/>
            <w:tcBorders>
              <w:left w:val="single" w:color="auto" w:sz="4" w:space="0"/>
              <w:right w:val="single" w:color="auto" w:sz="12" w:space="0"/>
            </w:tcBorders>
            <w:vAlign w:val="center"/>
          </w:tcPr>
          <w:p w14:paraId="0F9BD53C">
            <w:pPr>
              <w:spacing w:before="163"/>
              <w:jc w:val="center"/>
            </w:pPr>
            <w:bookmarkStart w:id="79" w:name="_GoBack"/>
            <w:r>
              <w:rPr>
                <w:rFonts w:hint="eastAsia" w:ascii="Times New Roman" w:hAnsi="Times New Roman" w:eastAsia="宋体" w:cs="Times New Roman"/>
              </w:rPr>
              <w:t>合同签订后2个月内</w:t>
            </w:r>
            <w:r>
              <w:rPr>
                <w:rFonts w:hint="eastAsia" w:ascii="Times New Roman" w:hAnsi="Times New Roman" w:eastAsia="宋体" w:cs="Times New Roman"/>
                <w:lang w:eastAsia="zh-CN"/>
              </w:rPr>
              <w:t>，</w:t>
            </w:r>
            <w:r>
              <w:rPr>
                <w:rFonts w:hint="eastAsia" w:ascii="Times New Roman" w:hAnsi="Times New Roman" w:eastAsia="宋体" w:cs="Times New Roman"/>
                <w:lang w:val="en-US" w:eastAsia="zh-CN"/>
              </w:rPr>
              <w:t>具体到场时间视现场工程进度而定</w:t>
            </w:r>
            <w:bookmarkEnd w:id="79"/>
          </w:p>
        </w:tc>
      </w:tr>
      <w:tr w14:paraId="3352822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547" w:hRule="atLeast"/>
          <w:jc w:val="center"/>
        </w:trPr>
        <w:tc>
          <w:tcPr>
            <w:tcW w:w="509" w:type="dxa"/>
            <w:tcBorders>
              <w:top w:val="single" w:color="auto" w:sz="4" w:space="0"/>
              <w:left w:val="single" w:color="auto" w:sz="12" w:space="0"/>
              <w:bottom w:val="single" w:color="auto" w:sz="12" w:space="0"/>
              <w:right w:val="single" w:color="auto" w:sz="2" w:space="0"/>
            </w:tcBorders>
            <w:vAlign w:val="center"/>
          </w:tcPr>
          <w:p w14:paraId="621661E5">
            <w:pPr>
              <w:spacing w:before="163"/>
              <w:jc w:val="center"/>
            </w:pPr>
            <w:r>
              <w:rPr>
                <w:rFonts w:hint="eastAsia"/>
              </w:rPr>
              <w:t>2</w:t>
            </w:r>
          </w:p>
        </w:tc>
        <w:tc>
          <w:tcPr>
            <w:tcW w:w="2826" w:type="dxa"/>
            <w:tcBorders>
              <w:top w:val="single" w:color="auto" w:sz="2" w:space="0"/>
              <w:left w:val="single" w:color="auto" w:sz="2" w:space="0"/>
              <w:bottom w:val="single" w:color="auto" w:sz="12" w:space="0"/>
              <w:right w:val="single" w:color="auto" w:sz="2" w:space="0"/>
            </w:tcBorders>
            <w:vAlign w:val="center"/>
          </w:tcPr>
          <w:p w14:paraId="0FB67346">
            <w:pPr>
              <w:spacing w:before="163"/>
              <w:jc w:val="center"/>
            </w:pPr>
          </w:p>
        </w:tc>
        <w:tc>
          <w:tcPr>
            <w:tcW w:w="3072" w:type="dxa"/>
            <w:tcBorders>
              <w:left w:val="single" w:color="auto" w:sz="2" w:space="0"/>
              <w:bottom w:val="single" w:color="auto" w:sz="12" w:space="0"/>
              <w:right w:val="single" w:color="auto" w:sz="4" w:space="0"/>
            </w:tcBorders>
            <w:vAlign w:val="center"/>
          </w:tcPr>
          <w:p w14:paraId="6570F92D">
            <w:pPr>
              <w:spacing w:before="163"/>
              <w:jc w:val="center"/>
            </w:pPr>
          </w:p>
        </w:tc>
        <w:tc>
          <w:tcPr>
            <w:tcW w:w="2436" w:type="dxa"/>
            <w:tcBorders>
              <w:left w:val="single" w:color="auto" w:sz="4" w:space="0"/>
              <w:bottom w:val="single" w:color="auto" w:sz="12" w:space="0"/>
              <w:right w:val="single" w:color="auto" w:sz="12" w:space="0"/>
            </w:tcBorders>
            <w:vAlign w:val="center"/>
          </w:tcPr>
          <w:p w14:paraId="3A142EC1">
            <w:pPr>
              <w:spacing w:before="163"/>
              <w:jc w:val="center"/>
            </w:pPr>
          </w:p>
        </w:tc>
      </w:tr>
    </w:tbl>
    <w:p w14:paraId="7F58A693">
      <w:pPr>
        <w:spacing w:line="360" w:lineRule="auto"/>
        <w:rPr>
          <w:bCs/>
        </w:rPr>
      </w:pPr>
    </w:p>
    <w:p w14:paraId="06FB5861">
      <w:pPr>
        <w:widowControl/>
        <w:autoSpaceDE w:val="0"/>
        <w:autoSpaceDN w:val="0"/>
        <w:snapToGrid w:val="0"/>
        <w:spacing w:line="360" w:lineRule="auto"/>
        <w:textAlignment w:val="bottom"/>
      </w:pPr>
      <w:r>
        <w:rPr>
          <w:rFonts w:hint="eastAsia"/>
        </w:rPr>
        <w:t>1、交货日期指该批设备到现场的日期；</w:t>
      </w:r>
      <w:r>
        <w:t>（交货地点</w:t>
      </w:r>
      <w:r>
        <w:rPr>
          <w:rFonts w:hint="eastAsia"/>
        </w:rPr>
        <w:t>浙能嘉兴电厂四期工程现场</w:t>
      </w:r>
      <w:r>
        <w:t>）</w:t>
      </w:r>
      <w:r>
        <w:rPr>
          <w:rFonts w:hint="eastAsia"/>
        </w:rPr>
        <w:t>。</w:t>
      </w:r>
    </w:p>
    <w:p w14:paraId="737A4831">
      <w:pPr>
        <w:widowControl/>
        <w:autoSpaceDE w:val="0"/>
        <w:autoSpaceDN w:val="0"/>
        <w:snapToGrid w:val="0"/>
        <w:spacing w:line="360" w:lineRule="auto"/>
        <w:textAlignment w:val="bottom"/>
      </w:pPr>
      <w:r>
        <w:rPr>
          <w:rFonts w:hint="eastAsia"/>
        </w:rPr>
        <w:t>2．投标人应负责本系统的包装和运输，若因包装和运输过程中发生系统仪器设备的损坏，由投标人负完全责任。如有木质包装，须提供《植物检疫证》。</w:t>
      </w:r>
    </w:p>
    <w:p w14:paraId="35308087">
      <w:pPr>
        <w:widowControl/>
        <w:autoSpaceDE w:val="0"/>
        <w:autoSpaceDN w:val="0"/>
        <w:snapToGrid w:val="0"/>
        <w:spacing w:line="360" w:lineRule="auto"/>
        <w:textAlignment w:val="bottom"/>
      </w:pPr>
      <w:r>
        <w:rPr>
          <w:rFonts w:hint="eastAsia"/>
        </w:rPr>
        <w:t>3．随机备品、专用工具随主设备同期到货。</w:t>
      </w:r>
    </w:p>
    <w:p w14:paraId="20BF9748">
      <w:pPr>
        <w:widowControl/>
        <w:autoSpaceDE w:val="0"/>
        <w:autoSpaceDN w:val="0"/>
        <w:snapToGrid w:val="0"/>
        <w:spacing w:line="360" w:lineRule="auto"/>
        <w:textAlignment w:val="bottom"/>
      </w:pPr>
      <w:r>
        <w:rPr>
          <w:rFonts w:hint="eastAsia"/>
        </w:rPr>
        <w:t>4．设备到达现场，投标人派人到现场办理交接。</w:t>
      </w:r>
    </w:p>
    <w:p w14:paraId="711B6FA2">
      <w:pPr>
        <w:widowControl/>
        <w:autoSpaceDE w:val="0"/>
        <w:autoSpaceDN w:val="0"/>
        <w:snapToGrid w:val="0"/>
        <w:spacing w:line="360" w:lineRule="auto"/>
        <w:textAlignment w:val="bottom"/>
      </w:pPr>
      <w:r>
        <w:rPr>
          <w:rFonts w:hint="eastAsia"/>
        </w:rPr>
        <w:t>5．设备的交货顺序要满足工程安装进度和顺序的要求，应保证部套的完整性。</w:t>
      </w:r>
    </w:p>
    <w:p w14:paraId="449688D2">
      <w:pPr>
        <w:widowControl/>
        <w:autoSpaceDE w:val="0"/>
        <w:autoSpaceDN w:val="0"/>
        <w:snapToGrid w:val="0"/>
        <w:spacing w:line="360" w:lineRule="auto"/>
        <w:textAlignment w:val="bottom"/>
      </w:pPr>
      <w:r>
        <w:rPr>
          <w:rFonts w:hint="eastAsia"/>
        </w:rPr>
        <w:t>6．表中交货进度为暂定时间，如有变动，招标人将提前90天以书面形式通知投标人，投标人应按招标人要求供货，并不发生任何费用。</w:t>
      </w:r>
    </w:p>
    <w:p w14:paraId="5E0BBA93">
      <w:pPr>
        <w:widowControl/>
        <w:autoSpaceDE w:val="0"/>
        <w:autoSpaceDN w:val="0"/>
        <w:snapToGrid w:val="0"/>
        <w:spacing w:line="360" w:lineRule="auto"/>
        <w:textAlignment w:val="bottom"/>
        <w:sectPr>
          <w:headerReference r:id="rId11" w:type="default"/>
          <w:footerReference r:id="rId12" w:type="default"/>
          <w:pgSz w:w="11907" w:h="16840"/>
          <w:pgMar w:top="1418" w:right="1418" w:bottom="1418" w:left="1418" w:header="851" w:footer="992" w:gutter="284"/>
          <w:pgNumType w:start="1"/>
          <w:cols w:space="720" w:num="1"/>
        </w:sectPr>
      </w:pPr>
      <w:r>
        <w:rPr>
          <w:rFonts w:hint="eastAsia"/>
        </w:rPr>
        <w:t>7．本系统安装完成后，经调试、性能测试、正常运行后，投标人应提供竣工验收报告。</w:t>
      </w:r>
    </w:p>
    <w:p w14:paraId="030194E3">
      <w:pPr>
        <w:pStyle w:val="2"/>
        <w:spacing w:before="120" w:beforeLines="50" w:after="120" w:afterLines="50" w:line="360" w:lineRule="auto"/>
        <w:jc w:val="left"/>
        <w:rPr>
          <w:rStyle w:val="48"/>
          <w:rFonts w:hint="eastAsia"/>
          <w:color w:val="auto"/>
          <w:sz w:val="30"/>
          <w:szCs w:val="30"/>
          <w:u w:val="none"/>
        </w:rPr>
      </w:pPr>
      <w:bookmarkStart w:id="64" w:name="_Toc28039"/>
      <w:r>
        <w:rPr>
          <w:rStyle w:val="48"/>
          <w:color w:val="auto"/>
          <w:sz w:val="30"/>
          <w:szCs w:val="30"/>
          <w:u w:val="none"/>
        </w:rPr>
        <w:t xml:space="preserve">附件5  </w:t>
      </w:r>
      <w:r>
        <w:rPr>
          <w:rStyle w:val="48"/>
          <w:rFonts w:hint="eastAsia"/>
          <w:color w:val="auto"/>
          <w:sz w:val="30"/>
          <w:szCs w:val="30"/>
          <w:u w:val="none"/>
        </w:rPr>
        <w:t>验收</w:t>
      </w:r>
      <w:r>
        <w:rPr>
          <w:rStyle w:val="48"/>
          <w:color w:val="auto"/>
          <w:sz w:val="30"/>
          <w:szCs w:val="30"/>
          <w:u w:val="none"/>
        </w:rPr>
        <w:t>和质量保证</w:t>
      </w:r>
      <w:bookmarkEnd w:id="64"/>
    </w:p>
    <w:p w14:paraId="6EB98920">
      <w:pPr>
        <w:pStyle w:val="3"/>
        <w:rPr>
          <w:rFonts w:ascii="Arial" w:cs="Arial"/>
          <w:sz w:val="24"/>
          <w:szCs w:val="24"/>
        </w:rPr>
      </w:pPr>
      <w:r>
        <w:rPr>
          <w:rFonts w:hint="eastAsia" w:ascii="Arial" w:cs="Arial"/>
          <w:sz w:val="24"/>
          <w:szCs w:val="24"/>
        </w:rPr>
        <w:t>1 验收</w:t>
      </w:r>
    </w:p>
    <w:p w14:paraId="5ECE8776">
      <w:pPr>
        <w:widowControl/>
        <w:autoSpaceDE w:val="0"/>
        <w:autoSpaceDN w:val="0"/>
        <w:snapToGrid w:val="0"/>
        <w:spacing w:line="360" w:lineRule="auto"/>
        <w:textAlignment w:val="bottom"/>
      </w:pPr>
      <w:r>
        <w:rPr>
          <w:rFonts w:hint="eastAsia"/>
        </w:rPr>
        <w:t>1.1</w:t>
      </w:r>
      <w:r>
        <w:rPr>
          <w:rFonts w:hint="eastAsia"/>
        </w:rPr>
        <w:tab/>
      </w:r>
      <w:r>
        <w:rPr>
          <w:rFonts w:hint="eastAsia"/>
        </w:rPr>
        <w:t>总体要求</w:t>
      </w:r>
    </w:p>
    <w:p w14:paraId="342FADEF">
      <w:pPr>
        <w:widowControl/>
        <w:autoSpaceDE w:val="0"/>
        <w:autoSpaceDN w:val="0"/>
        <w:snapToGrid w:val="0"/>
        <w:spacing w:line="360" w:lineRule="auto"/>
        <w:textAlignment w:val="bottom"/>
      </w:pPr>
      <w:r>
        <w:rPr>
          <w:rFonts w:hint="eastAsia"/>
        </w:rPr>
        <w:t>1)</w:t>
      </w:r>
      <w:r>
        <w:rPr>
          <w:rFonts w:hint="eastAsia"/>
        </w:rPr>
        <w:tab/>
      </w:r>
      <w:r>
        <w:rPr>
          <w:rFonts w:hint="eastAsia"/>
        </w:rPr>
        <w:t>本工程分为到货验收、初步验收、最终验收；</w:t>
      </w:r>
    </w:p>
    <w:p w14:paraId="24306B2A">
      <w:pPr>
        <w:widowControl/>
        <w:autoSpaceDE w:val="0"/>
        <w:autoSpaceDN w:val="0"/>
        <w:snapToGrid w:val="0"/>
        <w:spacing w:line="360" w:lineRule="auto"/>
        <w:textAlignment w:val="bottom"/>
      </w:pPr>
      <w:r>
        <w:rPr>
          <w:rFonts w:hint="eastAsia"/>
        </w:rPr>
        <w:t>2)</w:t>
      </w:r>
      <w:r>
        <w:rPr>
          <w:rFonts w:hint="eastAsia"/>
        </w:rPr>
        <w:tab/>
      </w:r>
      <w:r>
        <w:rPr>
          <w:rFonts w:hint="eastAsia"/>
        </w:rPr>
        <w:t>验收由双方共同参与；</w:t>
      </w:r>
    </w:p>
    <w:p w14:paraId="708BECB7">
      <w:pPr>
        <w:widowControl/>
        <w:autoSpaceDE w:val="0"/>
        <w:autoSpaceDN w:val="0"/>
        <w:snapToGrid w:val="0"/>
        <w:spacing w:line="360" w:lineRule="auto"/>
        <w:textAlignment w:val="bottom"/>
      </w:pPr>
      <w:r>
        <w:rPr>
          <w:rFonts w:hint="eastAsia"/>
        </w:rPr>
        <w:t>3)</w:t>
      </w:r>
      <w:r>
        <w:rPr>
          <w:rFonts w:hint="eastAsia"/>
        </w:rPr>
        <w:tab/>
      </w:r>
      <w:r>
        <w:rPr>
          <w:rFonts w:hint="eastAsia"/>
        </w:rPr>
        <w:t>所有测试及验收费用包含在合同总价之中；</w:t>
      </w:r>
    </w:p>
    <w:p w14:paraId="43052D1B">
      <w:pPr>
        <w:widowControl/>
        <w:autoSpaceDE w:val="0"/>
        <w:autoSpaceDN w:val="0"/>
        <w:snapToGrid w:val="0"/>
        <w:spacing w:line="360" w:lineRule="auto"/>
        <w:textAlignment w:val="bottom"/>
      </w:pPr>
      <w:r>
        <w:rPr>
          <w:rFonts w:hint="eastAsia"/>
        </w:rPr>
        <w:t>4) 测试及验收过程中出现任何系统故障，整个验收和诊断流程将重新开始。</w:t>
      </w:r>
    </w:p>
    <w:p w14:paraId="38A02BC4">
      <w:pPr>
        <w:widowControl/>
        <w:autoSpaceDE w:val="0"/>
        <w:autoSpaceDN w:val="0"/>
        <w:snapToGrid w:val="0"/>
        <w:spacing w:line="360" w:lineRule="auto"/>
        <w:textAlignment w:val="bottom"/>
      </w:pPr>
      <w:r>
        <w:rPr>
          <w:rFonts w:hint="eastAsia"/>
        </w:rPr>
        <w:t>1.2 到货验收</w:t>
      </w:r>
    </w:p>
    <w:p w14:paraId="73BBD890">
      <w:pPr>
        <w:widowControl/>
        <w:autoSpaceDE w:val="0"/>
        <w:autoSpaceDN w:val="0"/>
        <w:snapToGrid w:val="0"/>
        <w:spacing w:line="360" w:lineRule="auto"/>
        <w:textAlignment w:val="bottom"/>
      </w:pPr>
      <w:r>
        <w:rPr>
          <w:rFonts w:hint="eastAsia"/>
        </w:rPr>
        <w:t>1)</w:t>
      </w:r>
      <w:r>
        <w:rPr>
          <w:rFonts w:hint="eastAsia"/>
        </w:rPr>
        <w:tab/>
      </w:r>
      <w:r>
        <w:rPr>
          <w:rFonts w:hint="eastAsia"/>
        </w:rPr>
        <w:t>系统所需的主要设备到达招标人指定地点，提交相关到货资料并经过招标人确认后，可进行到货验收。</w:t>
      </w:r>
    </w:p>
    <w:p w14:paraId="08700EC4">
      <w:pPr>
        <w:widowControl/>
        <w:autoSpaceDE w:val="0"/>
        <w:autoSpaceDN w:val="0"/>
        <w:snapToGrid w:val="0"/>
        <w:spacing w:line="360" w:lineRule="auto"/>
        <w:textAlignment w:val="bottom"/>
      </w:pPr>
      <w:r>
        <w:rPr>
          <w:rFonts w:hint="eastAsia"/>
        </w:rPr>
        <w:t>1.3 初步验收</w:t>
      </w:r>
    </w:p>
    <w:p w14:paraId="4DF331D2">
      <w:pPr>
        <w:widowControl/>
        <w:autoSpaceDE w:val="0"/>
        <w:autoSpaceDN w:val="0"/>
        <w:snapToGrid w:val="0"/>
        <w:spacing w:line="360" w:lineRule="auto"/>
        <w:textAlignment w:val="bottom"/>
      </w:pPr>
      <w:r>
        <w:rPr>
          <w:rFonts w:hint="eastAsia"/>
        </w:rPr>
        <w:t>1)</w:t>
      </w:r>
      <w:r>
        <w:rPr>
          <w:rFonts w:hint="eastAsia"/>
        </w:rPr>
        <w:tab/>
      </w:r>
      <w:r>
        <w:rPr>
          <w:rFonts w:hint="eastAsia"/>
        </w:rPr>
        <w:t>初步验收在系统安装调试完成后，设备和系统的性能及技术指标达到技术规范书的要求、招标人得到技术规范书规定的资料后、进行初步验收。初验合格后，招标人即签发初步验收文件。</w:t>
      </w:r>
    </w:p>
    <w:p w14:paraId="05CB1D1C">
      <w:pPr>
        <w:widowControl/>
        <w:autoSpaceDE w:val="0"/>
        <w:autoSpaceDN w:val="0"/>
        <w:snapToGrid w:val="0"/>
        <w:spacing w:line="360" w:lineRule="auto"/>
        <w:textAlignment w:val="bottom"/>
      </w:pPr>
      <w:r>
        <w:rPr>
          <w:rFonts w:hint="eastAsia"/>
        </w:rPr>
        <w:t>1.4 最终验收</w:t>
      </w:r>
    </w:p>
    <w:p w14:paraId="5C286A27">
      <w:pPr>
        <w:widowControl/>
        <w:autoSpaceDE w:val="0"/>
        <w:autoSpaceDN w:val="0"/>
        <w:snapToGrid w:val="0"/>
        <w:spacing w:line="360" w:lineRule="auto"/>
        <w:textAlignment w:val="bottom"/>
      </w:pPr>
      <w:r>
        <w:rPr>
          <w:rFonts w:hint="eastAsia"/>
        </w:rPr>
        <w:t>1)</w:t>
      </w:r>
      <w:r>
        <w:rPr>
          <w:rFonts w:hint="eastAsia"/>
        </w:rPr>
        <w:tab/>
      </w:r>
      <w:r>
        <w:rPr>
          <w:rFonts w:hint="eastAsia"/>
        </w:rPr>
        <w:t>当系统通过初步验收、系统运行正常并解决质保期内遗留问题后，可进行竣工验收，竣工验收合格后由招标人签发最终验收文件。</w:t>
      </w:r>
    </w:p>
    <w:p w14:paraId="157D2FBD">
      <w:pPr>
        <w:pStyle w:val="3"/>
        <w:rPr>
          <w:rFonts w:ascii="Arial" w:cs="Arial"/>
          <w:sz w:val="24"/>
          <w:szCs w:val="24"/>
        </w:rPr>
      </w:pPr>
      <w:r>
        <w:rPr>
          <w:rFonts w:hint="eastAsia" w:ascii="Arial" w:cs="Arial"/>
          <w:szCs w:val="24"/>
        </w:rPr>
        <w:t>2</w:t>
      </w:r>
      <w:r>
        <w:rPr>
          <w:rFonts w:ascii="Arial" w:cs="Arial"/>
          <w:sz w:val="24"/>
          <w:szCs w:val="24"/>
        </w:rPr>
        <w:tab/>
      </w:r>
      <w:r>
        <w:rPr>
          <w:rFonts w:ascii="Arial" w:cs="Arial"/>
          <w:sz w:val="24"/>
          <w:szCs w:val="24"/>
        </w:rPr>
        <w:t>质量保证</w:t>
      </w:r>
    </w:p>
    <w:p w14:paraId="7E9D29C4">
      <w:pPr>
        <w:widowControl/>
        <w:autoSpaceDE w:val="0"/>
        <w:autoSpaceDN w:val="0"/>
        <w:snapToGrid w:val="0"/>
        <w:spacing w:line="360" w:lineRule="auto"/>
        <w:textAlignment w:val="bottom"/>
      </w:pPr>
      <w:r>
        <w:rPr>
          <w:rFonts w:hint="eastAsia"/>
        </w:rPr>
        <w:t>2.1 质保期自项目通过初步验收合格，并解决遗留问题通过复验后起算。</w:t>
      </w:r>
    </w:p>
    <w:p w14:paraId="6E5848AD">
      <w:pPr>
        <w:widowControl/>
        <w:autoSpaceDE w:val="0"/>
        <w:autoSpaceDN w:val="0"/>
        <w:snapToGrid w:val="0"/>
        <w:spacing w:line="360" w:lineRule="auto"/>
        <w:textAlignment w:val="bottom"/>
      </w:pPr>
      <w:r>
        <w:rPr>
          <w:rFonts w:hint="eastAsia"/>
        </w:rPr>
        <w:t>2.2 投标人应就产品的保修年限与服务内容及方式进行阐述。所有设备提供原厂不少于三年的质保服务。</w:t>
      </w:r>
    </w:p>
    <w:p w14:paraId="4BE8F415">
      <w:pPr>
        <w:widowControl/>
        <w:autoSpaceDE w:val="0"/>
        <w:autoSpaceDN w:val="0"/>
        <w:snapToGrid w:val="0"/>
        <w:spacing w:line="360" w:lineRule="auto"/>
        <w:textAlignment w:val="bottom"/>
      </w:pPr>
      <w:r>
        <w:rPr>
          <w:rFonts w:hint="eastAsia"/>
        </w:rPr>
        <w:t>2.3 投标人应承诺服务响应时间及提供的服务。投标人应提供三年7*24*4小时的服务响应。</w:t>
      </w:r>
    </w:p>
    <w:p w14:paraId="42E89E5F">
      <w:pPr>
        <w:widowControl/>
        <w:autoSpaceDE w:val="0"/>
        <w:autoSpaceDN w:val="0"/>
        <w:snapToGrid w:val="0"/>
        <w:spacing w:line="360" w:lineRule="auto"/>
        <w:textAlignment w:val="bottom"/>
      </w:pPr>
      <w:r>
        <w:rPr>
          <w:rFonts w:hint="eastAsia"/>
        </w:rPr>
        <w:t>2.4 由于产品本身质量所引起的故障，投标人在得到招标人通知后，应在两个工作日及时到达现场进行免费处理，系统内所有设备材料质保期限为三年。在质保期内如出现设备无法正常运行的情况，投标人必须保证在报修24小时内恢复。</w:t>
      </w:r>
    </w:p>
    <w:p w14:paraId="71108D0F">
      <w:pPr>
        <w:widowControl/>
        <w:autoSpaceDE w:val="0"/>
        <w:autoSpaceDN w:val="0"/>
        <w:snapToGrid w:val="0"/>
        <w:spacing w:line="360" w:lineRule="auto"/>
        <w:textAlignment w:val="bottom"/>
      </w:pPr>
      <w:r>
        <w:rPr>
          <w:rFonts w:hint="eastAsia"/>
        </w:rPr>
        <w:t>2.5 投标人应按招标人要求提供合格的产品，并保证在规定的期限内完成本工程的施工。在质保期内，投标人所提供设备的稳定性、可靠性等性能不能满足本协议及相关标准要求，投标人应在接到招标人通知后两个工作日内赶赴现场免费调试或免费更换，直至满足性能要求。并承担所发生的一切费用。</w:t>
      </w:r>
    </w:p>
    <w:p w14:paraId="23005D88">
      <w:pPr>
        <w:pStyle w:val="2"/>
        <w:spacing w:before="120" w:beforeLines="50" w:after="120" w:afterLines="50" w:line="360" w:lineRule="auto"/>
        <w:jc w:val="left"/>
        <w:rPr>
          <w:rStyle w:val="48"/>
          <w:rFonts w:hint="eastAsia"/>
          <w:color w:val="auto"/>
          <w:sz w:val="30"/>
          <w:szCs w:val="30"/>
        </w:rPr>
      </w:pPr>
      <w:r>
        <w:rPr>
          <w:rFonts w:ascii="Arial" w:hAnsi="Arial" w:cs="Arial"/>
        </w:rPr>
        <w:br w:type="page"/>
      </w:r>
      <w:bookmarkStart w:id="65" w:name="_Toc11293"/>
      <w:r>
        <w:rPr>
          <w:rStyle w:val="48"/>
          <w:color w:val="auto"/>
          <w:sz w:val="30"/>
          <w:szCs w:val="30"/>
          <w:u w:val="none"/>
        </w:rPr>
        <w:t>附件6  技术服务和设计联络</w:t>
      </w:r>
      <w:bookmarkEnd w:id="65"/>
    </w:p>
    <w:p w14:paraId="6010DF3B">
      <w:pPr>
        <w:pStyle w:val="3"/>
        <w:rPr>
          <w:rFonts w:ascii="Arial" w:cs="Arial"/>
          <w:sz w:val="24"/>
          <w:szCs w:val="24"/>
        </w:rPr>
      </w:pPr>
      <w:bookmarkStart w:id="66" w:name="_Toc501817577"/>
      <w:bookmarkStart w:id="67" w:name="_Toc491669884"/>
      <w:bookmarkStart w:id="68" w:name="_Toc446244121"/>
      <w:bookmarkStart w:id="69" w:name="_Toc491761288"/>
      <w:bookmarkStart w:id="70" w:name="_Toc470861369"/>
      <w:r>
        <w:rPr>
          <w:rFonts w:hint="eastAsia" w:ascii="Arial" w:cs="Arial"/>
          <w:sz w:val="24"/>
          <w:szCs w:val="24"/>
        </w:rPr>
        <w:t>1  投标人现场技术服务</w:t>
      </w:r>
      <w:bookmarkEnd w:id="66"/>
      <w:bookmarkEnd w:id="67"/>
      <w:bookmarkEnd w:id="68"/>
      <w:bookmarkEnd w:id="69"/>
      <w:bookmarkEnd w:id="70"/>
    </w:p>
    <w:p w14:paraId="0250B673">
      <w:pPr>
        <w:widowControl/>
        <w:autoSpaceDE w:val="0"/>
        <w:autoSpaceDN w:val="0"/>
        <w:snapToGrid w:val="0"/>
        <w:spacing w:line="360" w:lineRule="auto"/>
        <w:textAlignment w:val="bottom"/>
      </w:pPr>
      <w:r>
        <w:rPr>
          <w:rFonts w:hint="eastAsia"/>
        </w:rPr>
        <w:t>1.1 投标人现场技术服务人员的目的是保证所提供的合同设备安全、正常投运。投标人要派出合格的、能独立解决问题的现场实施人员。投标人提供的的现场服务应能满足工程需要。如果由于投标人的原因，人天数不能满足工程需要，招标人有权追加人天数，且发生的费用由投标人承担。</w:t>
      </w:r>
    </w:p>
    <w:p w14:paraId="6D740F59">
      <w:pPr>
        <w:widowControl/>
        <w:autoSpaceDE w:val="0"/>
        <w:autoSpaceDN w:val="0"/>
        <w:snapToGrid w:val="0"/>
        <w:spacing w:line="360" w:lineRule="auto"/>
        <w:textAlignment w:val="bottom"/>
      </w:pPr>
      <w:r>
        <w:rPr>
          <w:rFonts w:hint="eastAsia"/>
        </w:rPr>
        <w:t>1.2 投标人实施人员的一切费用已包含在合同总价中，它包括诸如服务人员的工资及各种补助、交通费、通讯费、食宿费、医疗费、各种保险费、各种税费等等。</w:t>
      </w:r>
    </w:p>
    <w:p w14:paraId="187DC4AB">
      <w:pPr>
        <w:widowControl/>
        <w:autoSpaceDE w:val="0"/>
        <w:autoSpaceDN w:val="0"/>
        <w:snapToGrid w:val="0"/>
        <w:spacing w:line="360" w:lineRule="auto"/>
        <w:textAlignment w:val="bottom"/>
      </w:pPr>
      <w:r>
        <w:rPr>
          <w:rFonts w:hint="eastAsia"/>
        </w:rPr>
        <w:t>1.3 现场实施人员的工作时间应与现场要求相一致，以满足现场安装、调试和试运行的要求。招标人不再因投标人现场实施人员的加班和节假日而另付费用。</w:t>
      </w:r>
    </w:p>
    <w:p w14:paraId="2BEE9DED">
      <w:pPr>
        <w:widowControl/>
        <w:autoSpaceDE w:val="0"/>
        <w:autoSpaceDN w:val="0"/>
        <w:snapToGrid w:val="0"/>
        <w:spacing w:line="360" w:lineRule="auto"/>
        <w:textAlignment w:val="bottom"/>
      </w:pPr>
      <w:r>
        <w:rPr>
          <w:rFonts w:hint="eastAsia"/>
        </w:rPr>
        <w:t>1.4 未经招标人同意，投标人不得随意更换现场实施人员。同时，投标人须及时更换招标人认为不合格的投标人现场实施人员。</w:t>
      </w:r>
    </w:p>
    <w:p w14:paraId="7C2D63B6">
      <w:pPr>
        <w:widowControl/>
        <w:autoSpaceDE w:val="0"/>
        <w:autoSpaceDN w:val="0"/>
        <w:snapToGrid w:val="0"/>
        <w:spacing w:line="360" w:lineRule="auto"/>
        <w:textAlignment w:val="bottom"/>
      </w:pPr>
      <w:r>
        <w:rPr>
          <w:rFonts w:hint="eastAsia"/>
        </w:rPr>
        <w:t>1.7 投标人现场实施人员应具有下列资质：</w:t>
      </w:r>
    </w:p>
    <w:p w14:paraId="74573C6B">
      <w:pPr>
        <w:widowControl/>
        <w:autoSpaceDE w:val="0"/>
        <w:autoSpaceDN w:val="0"/>
        <w:snapToGrid w:val="0"/>
        <w:spacing w:line="360" w:lineRule="auto"/>
        <w:textAlignment w:val="bottom"/>
      </w:pPr>
      <w:r>
        <w:rPr>
          <w:rFonts w:hint="eastAsia"/>
        </w:rPr>
        <w:t>1.7.1 遵守中华人民共和国法律，遵守现场的各项规章和制度；</w:t>
      </w:r>
    </w:p>
    <w:p w14:paraId="51B5C616">
      <w:pPr>
        <w:widowControl/>
        <w:autoSpaceDE w:val="0"/>
        <w:autoSpaceDN w:val="0"/>
        <w:snapToGrid w:val="0"/>
        <w:spacing w:line="360" w:lineRule="auto"/>
        <w:textAlignment w:val="bottom"/>
      </w:pPr>
      <w:r>
        <w:rPr>
          <w:rFonts w:hint="eastAsia"/>
        </w:rPr>
        <w:t>1.7.2 有较强的责任感和事业心，按时到位；</w:t>
      </w:r>
    </w:p>
    <w:p w14:paraId="457D2584">
      <w:pPr>
        <w:widowControl/>
        <w:autoSpaceDE w:val="0"/>
        <w:autoSpaceDN w:val="0"/>
        <w:snapToGrid w:val="0"/>
        <w:spacing w:line="360" w:lineRule="auto"/>
        <w:textAlignment w:val="bottom"/>
      </w:pPr>
      <w:r>
        <w:rPr>
          <w:rFonts w:hint="eastAsia"/>
        </w:rPr>
        <w:t>1.7.3 了解合同设备的设计，熟悉其结构，具有丰富的现场工作经验，能够正确地进行现场指导；</w:t>
      </w:r>
    </w:p>
    <w:p w14:paraId="6D150587">
      <w:pPr>
        <w:widowControl/>
        <w:autoSpaceDE w:val="0"/>
        <w:autoSpaceDN w:val="0"/>
        <w:snapToGrid w:val="0"/>
        <w:spacing w:line="360" w:lineRule="auto"/>
        <w:textAlignment w:val="bottom"/>
      </w:pPr>
      <w:r>
        <w:rPr>
          <w:rFonts w:hint="eastAsia"/>
        </w:rPr>
        <w:t>1.7.4 身体健康，适应现场工作的条件；</w:t>
      </w:r>
    </w:p>
    <w:p w14:paraId="5A81FE4F">
      <w:pPr>
        <w:widowControl/>
        <w:autoSpaceDE w:val="0"/>
        <w:autoSpaceDN w:val="0"/>
        <w:snapToGrid w:val="0"/>
        <w:spacing w:line="360" w:lineRule="auto"/>
        <w:textAlignment w:val="bottom"/>
      </w:pPr>
      <w:r>
        <w:rPr>
          <w:rFonts w:hint="eastAsia"/>
        </w:rPr>
        <w:t>1.8 投标人现场实施人员的职责</w:t>
      </w:r>
    </w:p>
    <w:p w14:paraId="4805F6B0">
      <w:pPr>
        <w:widowControl/>
        <w:autoSpaceDE w:val="0"/>
        <w:autoSpaceDN w:val="0"/>
        <w:snapToGrid w:val="0"/>
        <w:spacing w:line="360" w:lineRule="auto"/>
        <w:textAlignment w:val="bottom"/>
      </w:pPr>
      <w:r>
        <w:rPr>
          <w:rFonts w:hint="eastAsia"/>
        </w:rPr>
        <w:t>1.8.1 投标人现场实施人员的任务主要包括设备催交、货物的开箱检验、设备质量问题的处理、安装和调试、参加试运行和验收；</w:t>
      </w:r>
    </w:p>
    <w:p w14:paraId="27D59D8C">
      <w:pPr>
        <w:widowControl/>
        <w:autoSpaceDE w:val="0"/>
        <w:autoSpaceDN w:val="0"/>
        <w:snapToGrid w:val="0"/>
        <w:spacing w:line="360" w:lineRule="auto"/>
        <w:textAlignment w:val="bottom"/>
      </w:pPr>
      <w:r>
        <w:rPr>
          <w:rFonts w:hint="eastAsia"/>
        </w:rPr>
        <w:t>1.8.2 在安装和调试前，投标人技术实施人员应向招标人进行技术交底，讲解和示范将要进行的程序和方法。在设备安装前，投标人应向招标人提供设备安装和调试的重要工序和进度表，招标人技术人员要对此进行确认。</w:t>
      </w:r>
    </w:p>
    <w:p w14:paraId="4909D502">
      <w:pPr>
        <w:widowControl/>
        <w:autoSpaceDE w:val="0"/>
        <w:autoSpaceDN w:val="0"/>
        <w:snapToGrid w:val="0"/>
        <w:spacing w:line="360" w:lineRule="auto"/>
        <w:textAlignment w:val="bottom"/>
      </w:pPr>
      <w:r>
        <w:rPr>
          <w:rFonts w:hint="eastAsia"/>
        </w:rPr>
        <w:t>1.8.3 投标人现场实施人员负责全权处理现场出现的一切技术和商务问题。如现场发生质量问题，投标人现场人员要在招标人规定的时间内处理解决。</w:t>
      </w:r>
    </w:p>
    <w:p w14:paraId="193D7CB4">
      <w:pPr>
        <w:widowControl/>
        <w:autoSpaceDE w:val="0"/>
        <w:autoSpaceDN w:val="0"/>
        <w:snapToGrid w:val="0"/>
        <w:spacing w:line="360" w:lineRule="auto"/>
        <w:textAlignment w:val="bottom"/>
      </w:pPr>
      <w:r>
        <w:rPr>
          <w:rFonts w:hint="eastAsia"/>
        </w:rPr>
        <w:t>1.8.4 投标人对其现场实施人员的一切行为负全部责任；</w:t>
      </w:r>
    </w:p>
    <w:p w14:paraId="66E5CA19">
      <w:pPr>
        <w:widowControl/>
        <w:autoSpaceDE w:val="0"/>
        <w:autoSpaceDN w:val="0"/>
        <w:snapToGrid w:val="0"/>
        <w:spacing w:line="360" w:lineRule="auto"/>
        <w:textAlignment w:val="bottom"/>
      </w:pPr>
      <w:r>
        <w:rPr>
          <w:rFonts w:hint="eastAsia"/>
        </w:rPr>
        <w:t>1.9 招标人的义务</w:t>
      </w:r>
    </w:p>
    <w:p w14:paraId="18871094">
      <w:pPr>
        <w:tabs>
          <w:tab w:val="left" w:pos="600"/>
          <w:tab w:val="left" w:pos="840"/>
        </w:tabs>
        <w:spacing w:line="500" w:lineRule="exact"/>
        <w:ind w:firstLine="566"/>
      </w:pPr>
      <w:r>
        <w:rPr>
          <w:rFonts w:hint="eastAsia"/>
        </w:rPr>
        <w:t>招标人要配合投标人现场实施人员的工作，并在生活、交通和通讯上适当为投标人提供便利。</w:t>
      </w:r>
    </w:p>
    <w:p w14:paraId="1093BC09">
      <w:pPr>
        <w:spacing w:line="360" w:lineRule="auto"/>
        <w:jc w:val="center"/>
        <w:rPr>
          <w:b/>
        </w:rPr>
      </w:pPr>
      <w:r>
        <w:rPr>
          <w:rFonts w:hint="eastAsia"/>
          <w:b/>
        </w:rPr>
        <w:t>安装调试人员情况表</w:t>
      </w:r>
    </w:p>
    <w:tbl>
      <w:tblPr>
        <w:tblStyle w:val="42"/>
        <w:tblW w:w="8354" w:type="dxa"/>
        <w:tblInd w:w="28" w:type="dxa"/>
        <w:tblLayout w:type="fixed"/>
        <w:tblCellMar>
          <w:top w:w="0" w:type="dxa"/>
          <w:left w:w="28" w:type="dxa"/>
          <w:bottom w:w="0" w:type="dxa"/>
          <w:right w:w="28" w:type="dxa"/>
        </w:tblCellMar>
      </w:tblPr>
      <w:tblGrid>
        <w:gridCol w:w="1155"/>
        <w:gridCol w:w="830"/>
        <w:gridCol w:w="1417"/>
        <w:gridCol w:w="1307"/>
        <w:gridCol w:w="900"/>
        <w:gridCol w:w="844"/>
        <w:gridCol w:w="956"/>
        <w:gridCol w:w="945"/>
      </w:tblGrid>
      <w:tr w14:paraId="7D45CB68">
        <w:tblPrEx>
          <w:tblCellMar>
            <w:top w:w="0" w:type="dxa"/>
            <w:left w:w="28" w:type="dxa"/>
            <w:bottom w:w="0" w:type="dxa"/>
            <w:right w:w="28" w:type="dxa"/>
          </w:tblCellMar>
        </w:tblPrEx>
        <w:tc>
          <w:tcPr>
            <w:tcW w:w="1155" w:type="dxa"/>
            <w:tcBorders>
              <w:top w:val="single" w:color="auto" w:sz="6" w:space="0"/>
              <w:left w:val="single" w:color="auto" w:sz="6" w:space="0"/>
              <w:right w:val="single" w:color="auto" w:sz="6" w:space="0"/>
            </w:tcBorders>
          </w:tcPr>
          <w:p w14:paraId="0EA15693">
            <w:pPr>
              <w:spacing w:line="300" w:lineRule="auto"/>
              <w:jc w:val="center"/>
              <w:rPr>
                <w:b/>
              </w:rPr>
            </w:pPr>
            <w:r>
              <w:rPr>
                <w:rFonts w:hint="eastAsia"/>
                <w:b/>
              </w:rPr>
              <w:t>姓名</w:t>
            </w:r>
          </w:p>
        </w:tc>
        <w:tc>
          <w:tcPr>
            <w:tcW w:w="830" w:type="dxa"/>
            <w:tcBorders>
              <w:top w:val="single" w:color="auto" w:sz="6" w:space="0"/>
              <w:left w:val="nil"/>
              <w:right w:val="single" w:color="auto" w:sz="6" w:space="0"/>
            </w:tcBorders>
          </w:tcPr>
          <w:p w14:paraId="5E830CCF">
            <w:pPr>
              <w:spacing w:line="300" w:lineRule="auto"/>
              <w:jc w:val="center"/>
              <w:rPr>
                <w:b/>
              </w:rPr>
            </w:pPr>
          </w:p>
        </w:tc>
        <w:tc>
          <w:tcPr>
            <w:tcW w:w="1417" w:type="dxa"/>
            <w:tcBorders>
              <w:top w:val="single" w:color="auto" w:sz="6" w:space="0"/>
              <w:left w:val="nil"/>
              <w:right w:val="single" w:color="auto" w:sz="6" w:space="0"/>
            </w:tcBorders>
          </w:tcPr>
          <w:p w14:paraId="648F3F02">
            <w:pPr>
              <w:spacing w:line="300" w:lineRule="auto"/>
              <w:jc w:val="center"/>
              <w:rPr>
                <w:b/>
              </w:rPr>
            </w:pPr>
            <w:r>
              <w:rPr>
                <w:rFonts w:hint="eastAsia"/>
                <w:b/>
              </w:rPr>
              <w:t>性别</w:t>
            </w:r>
          </w:p>
        </w:tc>
        <w:tc>
          <w:tcPr>
            <w:tcW w:w="1307" w:type="dxa"/>
            <w:tcBorders>
              <w:top w:val="single" w:color="auto" w:sz="6" w:space="0"/>
              <w:left w:val="nil"/>
              <w:right w:val="single" w:color="auto" w:sz="6" w:space="0"/>
            </w:tcBorders>
          </w:tcPr>
          <w:p w14:paraId="66711973">
            <w:pPr>
              <w:spacing w:line="300" w:lineRule="auto"/>
              <w:jc w:val="center"/>
              <w:rPr>
                <w:b/>
              </w:rPr>
            </w:pPr>
          </w:p>
        </w:tc>
        <w:tc>
          <w:tcPr>
            <w:tcW w:w="900" w:type="dxa"/>
            <w:tcBorders>
              <w:top w:val="single" w:color="auto" w:sz="6" w:space="0"/>
              <w:left w:val="nil"/>
              <w:right w:val="single" w:color="auto" w:sz="6" w:space="0"/>
            </w:tcBorders>
          </w:tcPr>
          <w:p w14:paraId="1BEA35EF">
            <w:pPr>
              <w:spacing w:line="300" w:lineRule="auto"/>
              <w:jc w:val="center"/>
              <w:rPr>
                <w:b/>
              </w:rPr>
            </w:pPr>
            <w:r>
              <w:rPr>
                <w:rFonts w:hint="eastAsia"/>
                <w:b/>
              </w:rPr>
              <w:t>年龄</w:t>
            </w:r>
          </w:p>
        </w:tc>
        <w:tc>
          <w:tcPr>
            <w:tcW w:w="844" w:type="dxa"/>
            <w:tcBorders>
              <w:top w:val="single" w:color="auto" w:sz="6" w:space="0"/>
              <w:left w:val="nil"/>
              <w:right w:val="single" w:color="auto" w:sz="6" w:space="0"/>
            </w:tcBorders>
          </w:tcPr>
          <w:p w14:paraId="0323CD8C">
            <w:pPr>
              <w:spacing w:line="300" w:lineRule="auto"/>
              <w:jc w:val="center"/>
              <w:rPr>
                <w:b/>
              </w:rPr>
            </w:pPr>
          </w:p>
        </w:tc>
        <w:tc>
          <w:tcPr>
            <w:tcW w:w="956" w:type="dxa"/>
            <w:tcBorders>
              <w:top w:val="single" w:color="auto" w:sz="6" w:space="0"/>
              <w:left w:val="nil"/>
              <w:right w:val="single" w:color="auto" w:sz="6" w:space="0"/>
            </w:tcBorders>
          </w:tcPr>
          <w:p w14:paraId="0F911E6C">
            <w:pPr>
              <w:spacing w:line="300" w:lineRule="auto"/>
              <w:jc w:val="center"/>
              <w:rPr>
                <w:b/>
              </w:rPr>
            </w:pPr>
            <w:r>
              <w:rPr>
                <w:rFonts w:hint="eastAsia"/>
                <w:b/>
              </w:rPr>
              <w:t>民族</w:t>
            </w:r>
          </w:p>
        </w:tc>
        <w:tc>
          <w:tcPr>
            <w:tcW w:w="945" w:type="dxa"/>
            <w:tcBorders>
              <w:top w:val="single" w:color="auto" w:sz="6" w:space="0"/>
              <w:left w:val="nil"/>
              <w:right w:val="single" w:color="auto" w:sz="6" w:space="0"/>
            </w:tcBorders>
          </w:tcPr>
          <w:p w14:paraId="4D48CF4E">
            <w:pPr>
              <w:spacing w:line="300" w:lineRule="auto"/>
              <w:jc w:val="center"/>
              <w:rPr>
                <w:b/>
              </w:rPr>
            </w:pPr>
          </w:p>
        </w:tc>
      </w:tr>
      <w:tr w14:paraId="6163EE21">
        <w:tblPrEx>
          <w:tblCellMar>
            <w:top w:w="0" w:type="dxa"/>
            <w:left w:w="28" w:type="dxa"/>
            <w:bottom w:w="0" w:type="dxa"/>
            <w:right w:w="28" w:type="dxa"/>
          </w:tblCellMar>
        </w:tblPrEx>
        <w:tc>
          <w:tcPr>
            <w:tcW w:w="1155" w:type="dxa"/>
            <w:tcBorders>
              <w:top w:val="single" w:color="auto" w:sz="6" w:space="0"/>
              <w:left w:val="single" w:color="auto" w:sz="6" w:space="0"/>
              <w:bottom w:val="single" w:color="auto" w:sz="6" w:space="0"/>
              <w:right w:val="single" w:color="auto" w:sz="6" w:space="0"/>
            </w:tcBorders>
          </w:tcPr>
          <w:p w14:paraId="79996072">
            <w:pPr>
              <w:spacing w:line="300" w:lineRule="auto"/>
              <w:jc w:val="center"/>
              <w:rPr>
                <w:b/>
              </w:rPr>
            </w:pPr>
            <w:r>
              <w:rPr>
                <w:rFonts w:hint="eastAsia"/>
                <w:b/>
              </w:rPr>
              <w:t>政治面貌</w:t>
            </w:r>
          </w:p>
        </w:tc>
        <w:tc>
          <w:tcPr>
            <w:tcW w:w="830" w:type="dxa"/>
            <w:tcBorders>
              <w:top w:val="single" w:color="auto" w:sz="6" w:space="0"/>
              <w:left w:val="nil"/>
              <w:bottom w:val="single" w:color="auto" w:sz="6" w:space="0"/>
            </w:tcBorders>
          </w:tcPr>
          <w:p w14:paraId="0C15E56F">
            <w:pPr>
              <w:spacing w:line="300" w:lineRule="auto"/>
              <w:jc w:val="center"/>
              <w:rPr>
                <w:b/>
              </w:rPr>
            </w:pPr>
          </w:p>
        </w:tc>
        <w:tc>
          <w:tcPr>
            <w:tcW w:w="1417" w:type="dxa"/>
            <w:tcBorders>
              <w:top w:val="single" w:color="auto" w:sz="6" w:space="0"/>
              <w:left w:val="single" w:color="auto" w:sz="6" w:space="0"/>
              <w:bottom w:val="single" w:color="auto" w:sz="6" w:space="0"/>
              <w:right w:val="single" w:color="auto" w:sz="6" w:space="0"/>
            </w:tcBorders>
          </w:tcPr>
          <w:p w14:paraId="3F0F9C14">
            <w:pPr>
              <w:spacing w:line="300" w:lineRule="auto"/>
              <w:jc w:val="center"/>
              <w:rPr>
                <w:b/>
              </w:rPr>
            </w:pPr>
            <w:r>
              <w:rPr>
                <w:rFonts w:hint="eastAsia"/>
                <w:b/>
              </w:rPr>
              <w:t>学校和专业</w:t>
            </w:r>
          </w:p>
        </w:tc>
        <w:tc>
          <w:tcPr>
            <w:tcW w:w="1307" w:type="dxa"/>
            <w:tcBorders>
              <w:top w:val="single" w:color="auto" w:sz="6" w:space="0"/>
              <w:left w:val="nil"/>
              <w:bottom w:val="single" w:color="auto" w:sz="6" w:space="0"/>
            </w:tcBorders>
          </w:tcPr>
          <w:p w14:paraId="54E3936A">
            <w:pPr>
              <w:spacing w:line="300" w:lineRule="auto"/>
              <w:jc w:val="center"/>
              <w:rPr>
                <w:b/>
              </w:rPr>
            </w:pPr>
          </w:p>
        </w:tc>
        <w:tc>
          <w:tcPr>
            <w:tcW w:w="900" w:type="dxa"/>
            <w:tcBorders>
              <w:top w:val="single" w:color="auto" w:sz="6" w:space="0"/>
              <w:left w:val="single" w:color="auto" w:sz="6" w:space="0"/>
              <w:bottom w:val="single" w:color="auto" w:sz="6" w:space="0"/>
              <w:right w:val="single" w:color="auto" w:sz="6" w:space="0"/>
            </w:tcBorders>
          </w:tcPr>
          <w:p w14:paraId="399B35C8">
            <w:pPr>
              <w:spacing w:line="300" w:lineRule="auto"/>
              <w:jc w:val="center"/>
              <w:rPr>
                <w:b/>
              </w:rPr>
            </w:pPr>
            <w:r>
              <w:rPr>
                <w:rFonts w:hint="eastAsia"/>
                <w:b/>
              </w:rPr>
              <w:t>职务</w:t>
            </w:r>
          </w:p>
        </w:tc>
        <w:tc>
          <w:tcPr>
            <w:tcW w:w="844" w:type="dxa"/>
            <w:tcBorders>
              <w:top w:val="single" w:color="auto" w:sz="6" w:space="0"/>
              <w:left w:val="nil"/>
              <w:bottom w:val="single" w:color="auto" w:sz="6" w:space="0"/>
            </w:tcBorders>
          </w:tcPr>
          <w:p w14:paraId="126AFF31">
            <w:pPr>
              <w:spacing w:line="300" w:lineRule="auto"/>
              <w:jc w:val="center"/>
              <w:rPr>
                <w:b/>
              </w:rPr>
            </w:pPr>
          </w:p>
        </w:tc>
        <w:tc>
          <w:tcPr>
            <w:tcW w:w="956" w:type="dxa"/>
            <w:tcBorders>
              <w:top w:val="single" w:color="auto" w:sz="6" w:space="0"/>
              <w:left w:val="single" w:color="auto" w:sz="6" w:space="0"/>
              <w:bottom w:val="single" w:color="auto" w:sz="6" w:space="0"/>
              <w:right w:val="single" w:color="auto" w:sz="6" w:space="0"/>
            </w:tcBorders>
          </w:tcPr>
          <w:p w14:paraId="2DCCC3DB">
            <w:pPr>
              <w:spacing w:line="300" w:lineRule="auto"/>
              <w:jc w:val="center"/>
              <w:rPr>
                <w:b/>
              </w:rPr>
            </w:pPr>
            <w:r>
              <w:rPr>
                <w:rFonts w:hint="eastAsia"/>
                <w:b/>
              </w:rPr>
              <w:t>职称</w:t>
            </w:r>
          </w:p>
        </w:tc>
        <w:tc>
          <w:tcPr>
            <w:tcW w:w="945" w:type="dxa"/>
            <w:tcBorders>
              <w:top w:val="single" w:color="auto" w:sz="6" w:space="0"/>
              <w:left w:val="nil"/>
              <w:bottom w:val="single" w:color="auto" w:sz="6" w:space="0"/>
              <w:right w:val="single" w:color="auto" w:sz="6" w:space="0"/>
            </w:tcBorders>
          </w:tcPr>
          <w:p w14:paraId="23828639">
            <w:pPr>
              <w:spacing w:line="300" w:lineRule="auto"/>
              <w:jc w:val="center"/>
              <w:rPr>
                <w:b/>
              </w:rPr>
            </w:pPr>
          </w:p>
        </w:tc>
      </w:tr>
      <w:tr w14:paraId="0222B5CB">
        <w:tblPrEx>
          <w:tblCellMar>
            <w:top w:w="0" w:type="dxa"/>
            <w:left w:w="28" w:type="dxa"/>
            <w:bottom w:w="0" w:type="dxa"/>
            <w:right w:w="28" w:type="dxa"/>
          </w:tblCellMar>
        </w:tblPrEx>
        <w:trPr>
          <w:cantSplit/>
        </w:trPr>
        <w:tc>
          <w:tcPr>
            <w:tcW w:w="1155" w:type="dxa"/>
            <w:tcBorders>
              <w:left w:val="single" w:color="auto" w:sz="6" w:space="0"/>
              <w:right w:val="single" w:color="auto" w:sz="6" w:space="0"/>
            </w:tcBorders>
          </w:tcPr>
          <w:p w14:paraId="51B35562">
            <w:pPr>
              <w:spacing w:line="300" w:lineRule="auto"/>
            </w:pPr>
          </w:p>
        </w:tc>
        <w:tc>
          <w:tcPr>
            <w:tcW w:w="7199" w:type="dxa"/>
            <w:gridSpan w:val="7"/>
            <w:tcBorders>
              <w:left w:val="nil"/>
              <w:right w:val="single" w:color="auto" w:sz="6" w:space="0"/>
            </w:tcBorders>
          </w:tcPr>
          <w:p w14:paraId="67DF71EE">
            <w:pPr>
              <w:spacing w:line="300" w:lineRule="auto"/>
            </w:pPr>
          </w:p>
        </w:tc>
      </w:tr>
      <w:tr w14:paraId="0701E3D9">
        <w:tblPrEx>
          <w:tblCellMar>
            <w:top w:w="0" w:type="dxa"/>
            <w:left w:w="28" w:type="dxa"/>
            <w:bottom w:w="0" w:type="dxa"/>
            <w:right w:w="28" w:type="dxa"/>
          </w:tblCellMar>
        </w:tblPrEx>
        <w:tc>
          <w:tcPr>
            <w:tcW w:w="1155" w:type="dxa"/>
            <w:tcBorders>
              <w:left w:val="single" w:color="auto" w:sz="6" w:space="0"/>
              <w:right w:val="single" w:color="auto" w:sz="6" w:space="0"/>
            </w:tcBorders>
          </w:tcPr>
          <w:p w14:paraId="08A4E9AB">
            <w:pPr>
              <w:spacing w:line="300" w:lineRule="auto"/>
            </w:pPr>
            <w:r>
              <w:rPr>
                <w:rFonts w:hint="eastAsia"/>
              </w:rPr>
              <w:t>工</w:t>
            </w:r>
          </w:p>
        </w:tc>
        <w:tc>
          <w:tcPr>
            <w:tcW w:w="7199" w:type="dxa"/>
            <w:gridSpan w:val="7"/>
            <w:vMerge w:val="restart"/>
            <w:tcBorders>
              <w:left w:val="nil"/>
              <w:right w:val="single" w:color="auto" w:sz="6" w:space="0"/>
            </w:tcBorders>
          </w:tcPr>
          <w:p w14:paraId="39A4EC16">
            <w:pPr>
              <w:spacing w:line="300" w:lineRule="auto"/>
            </w:pPr>
          </w:p>
        </w:tc>
      </w:tr>
      <w:tr w14:paraId="6F7C9080">
        <w:tblPrEx>
          <w:tblCellMar>
            <w:top w:w="0" w:type="dxa"/>
            <w:left w:w="28" w:type="dxa"/>
            <w:bottom w:w="0" w:type="dxa"/>
            <w:right w:w="28" w:type="dxa"/>
          </w:tblCellMar>
        </w:tblPrEx>
        <w:tc>
          <w:tcPr>
            <w:tcW w:w="1155" w:type="dxa"/>
            <w:tcBorders>
              <w:left w:val="single" w:color="auto" w:sz="6" w:space="0"/>
              <w:right w:val="single" w:color="auto" w:sz="6" w:space="0"/>
            </w:tcBorders>
          </w:tcPr>
          <w:p w14:paraId="6E8EBA8B">
            <w:pPr>
              <w:spacing w:line="300" w:lineRule="auto"/>
            </w:pPr>
            <w:r>
              <w:rPr>
                <w:rFonts w:hint="eastAsia"/>
              </w:rPr>
              <w:t>作</w:t>
            </w:r>
          </w:p>
        </w:tc>
        <w:tc>
          <w:tcPr>
            <w:tcW w:w="7199" w:type="dxa"/>
            <w:gridSpan w:val="7"/>
            <w:vMerge w:val="continue"/>
            <w:tcBorders>
              <w:left w:val="nil"/>
              <w:right w:val="single" w:color="auto" w:sz="6" w:space="0"/>
            </w:tcBorders>
          </w:tcPr>
          <w:p w14:paraId="749767F8">
            <w:pPr>
              <w:spacing w:line="300" w:lineRule="auto"/>
            </w:pPr>
          </w:p>
        </w:tc>
      </w:tr>
      <w:tr w14:paraId="1118C2DF">
        <w:tblPrEx>
          <w:tblCellMar>
            <w:top w:w="0" w:type="dxa"/>
            <w:left w:w="28" w:type="dxa"/>
            <w:bottom w:w="0" w:type="dxa"/>
            <w:right w:w="28" w:type="dxa"/>
          </w:tblCellMar>
        </w:tblPrEx>
        <w:tc>
          <w:tcPr>
            <w:tcW w:w="1155" w:type="dxa"/>
            <w:tcBorders>
              <w:left w:val="single" w:color="auto" w:sz="6" w:space="0"/>
              <w:right w:val="single" w:color="auto" w:sz="6" w:space="0"/>
            </w:tcBorders>
          </w:tcPr>
          <w:p w14:paraId="18C05EA3">
            <w:pPr>
              <w:spacing w:line="300" w:lineRule="auto"/>
            </w:pPr>
            <w:r>
              <w:rPr>
                <w:rFonts w:hint="eastAsia"/>
              </w:rPr>
              <w:t>简</w:t>
            </w:r>
          </w:p>
        </w:tc>
        <w:tc>
          <w:tcPr>
            <w:tcW w:w="7199" w:type="dxa"/>
            <w:gridSpan w:val="7"/>
            <w:vMerge w:val="continue"/>
            <w:tcBorders>
              <w:left w:val="nil"/>
              <w:right w:val="single" w:color="auto" w:sz="6" w:space="0"/>
            </w:tcBorders>
          </w:tcPr>
          <w:p w14:paraId="26FB487E">
            <w:pPr>
              <w:spacing w:line="300" w:lineRule="auto"/>
            </w:pPr>
          </w:p>
        </w:tc>
      </w:tr>
      <w:tr w14:paraId="729E6D0E">
        <w:tblPrEx>
          <w:tblCellMar>
            <w:top w:w="0" w:type="dxa"/>
            <w:left w:w="28" w:type="dxa"/>
            <w:bottom w:w="0" w:type="dxa"/>
            <w:right w:w="28" w:type="dxa"/>
          </w:tblCellMar>
        </w:tblPrEx>
        <w:tc>
          <w:tcPr>
            <w:tcW w:w="1155" w:type="dxa"/>
            <w:tcBorders>
              <w:left w:val="single" w:color="auto" w:sz="6" w:space="0"/>
              <w:right w:val="single" w:color="auto" w:sz="6" w:space="0"/>
            </w:tcBorders>
          </w:tcPr>
          <w:p w14:paraId="7DF8A838">
            <w:pPr>
              <w:spacing w:line="300" w:lineRule="auto"/>
            </w:pPr>
            <w:r>
              <w:rPr>
                <w:rFonts w:hint="eastAsia"/>
              </w:rPr>
              <w:t>历</w:t>
            </w:r>
          </w:p>
        </w:tc>
        <w:tc>
          <w:tcPr>
            <w:tcW w:w="7199" w:type="dxa"/>
            <w:gridSpan w:val="7"/>
            <w:vMerge w:val="continue"/>
            <w:tcBorders>
              <w:left w:val="nil"/>
              <w:right w:val="single" w:color="auto" w:sz="6" w:space="0"/>
            </w:tcBorders>
          </w:tcPr>
          <w:p w14:paraId="475A69EC">
            <w:pPr>
              <w:spacing w:line="300" w:lineRule="auto"/>
            </w:pPr>
          </w:p>
        </w:tc>
      </w:tr>
      <w:tr w14:paraId="525B8ED2">
        <w:tblPrEx>
          <w:tblCellMar>
            <w:top w:w="0" w:type="dxa"/>
            <w:left w:w="28" w:type="dxa"/>
            <w:bottom w:w="0" w:type="dxa"/>
            <w:right w:w="28" w:type="dxa"/>
          </w:tblCellMar>
        </w:tblPrEx>
        <w:trPr>
          <w:trHeight w:val="622" w:hRule="atLeast"/>
        </w:trPr>
        <w:tc>
          <w:tcPr>
            <w:tcW w:w="1155" w:type="dxa"/>
            <w:tcBorders>
              <w:left w:val="single" w:color="auto" w:sz="6" w:space="0"/>
              <w:right w:val="single" w:color="auto" w:sz="6" w:space="0"/>
            </w:tcBorders>
          </w:tcPr>
          <w:p w14:paraId="42CAA89F">
            <w:pPr>
              <w:spacing w:line="300" w:lineRule="auto"/>
            </w:pPr>
          </w:p>
        </w:tc>
        <w:tc>
          <w:tcPr>
            <w:tcW w:w="7199" w:type="dxa"/>
            <w:gridSpan w:val="7"/>
            <w:vMerge w:val="continue"/>
            <w:tcBorders>
              <w:left w:val="nil"/>
              <w:right w:val="single" w:color="auto" w:sz="6" w:space="0"/>
            </w:tcBorders>
          </w:tcPr>
          <w:p w14:paraId="73B3C362">
            <w:pPr>
              <w:spacing w:line="300" w:lineRule="auto"/>
            </w:pPr>
          </w:p>
        </w:tc>
      </w:tr>
      <w:tr w14:paraId="74842719">
        <w:tblPrEx>
          <w:tblCellMar>
            <w:top w:w="0" w:type="dxa"/>
            <w:left w:w="28" w:type="dxa"/>
            <w:bottom w:w="0" w:type="dxa"/>
            <w:right w:w="28" w:type="dxa"/>
          </w:tblCellMar>
        </w:tblPrEx>
        <w:trPr>
          <w:cantSplit/>
        </w:trPr>
        <w:tc>
          <w:tcPr>
            <w:tcW w:w="1155" w:type="dxa"/>
            <w:tcBorders>
              <w:top w:val="single" w:color="auto" w:sz="6" w:space="0"/>
              <w:left w:val="single" w:color="auto" w:sz="6" w:space="0"/>
              <w:right w:val="single" w:color="auto" w:sz="6" w:space="0"/>
            </w:tcBorders>
          </w:tcPr>
          <w:p w14:paraId="1D82F0D2">
            <w:pPr>
              <w:spacing w:line="300" w:lineRule="auto"/>
            </w:pPr>
          </w:p>
        </w:tc>
        <w:tc>
          <w:tcPr>
            <w:tcW w:w="7199" w:type="dxa"/>
            <w:gridSpan w:val="7"/>
            <w:tcBorders>
              <w:top w:val="single" w:color="auto" w:sz="6" w:space="0"/>
              <w:left w:val="nil"/>
              <w:right w:val="single" w:color="auto" w:sz="6" w:space="0"/>
            </w:tcBorders>
          </w:tcPr>
          <w:p w14:paraId="435D7CA9">
            <w:pPr>
              <w:spacing w:line="300" w:lineRule="auto"/>
            </w:pPr>
          </w:p>
        </w:tc>
      </w:tr>
      <w:tr w14:paraId="47C968B4">
        <w:tblPrEx>
          <w:tblCellMar>
            <w:top w:w="0" w:type="dxa"/>
            <w:left w:w="28" w:type="dxa"/>
            <w:bottom w:w="0" w:type="dxa"/>
            <w:right w:w="28" w:type="dxa"/>
          </w:tblCellMar>
        </w:tblPrEx>
        <w:tc>
          <w:tcPr>
            <w:tcW w:w="1155" w:type="dxa"/>
            <w:tcBorders>
              <w:left w:val="single" w:color="auto" w:sz="6" w:space="0"/>
              <w:right w:val="single" w:color="auto" w:sz="6" w:space="0"/>
            </w:tcBorders>
          </w:tcPr>
          <w:p w14:paraId="0CDCE3C5">
            <w:pPr>
              <w:spacing w:line="300" w:lineRule="auto"/>
            </w:pPr>
            <w:r>
              <w:rPr>
                <w:rFonts w:hint="eastAsia"/>
              </w:rPr>
              <w:t>单</w:t>
            </w:r>
          </w:p>
        </w:tc>
        <w:tc>
          <w:tcPr>
            <w:tcW w:w="7199" w:type="dxa"/>
            <w:gridSpan w:val="7"/>
            <w:vMerge w:val="restart"/>
            <w:tcBorders>
              <w:left w:val="nil"/>
              <w:right w:val="single" w:color="auto" w:sz="6" w:space="0"/>
            </w:tcBorders>
          </w:tcPr>
          <w:p w14:paraId="111AAF72">
            <w:pPr>
              <w:spacing w:line="300" w:lineRule="auto"/>
            </w:pPr>
          </w:p>
        </w:tc>
      </w:tr>
      <w:tr w14:paraId="2DCBB9BA">
        <w:tblPrEx>
          <w:tblCellMar>
            <w:top w:w="0" w:type="dxa"/>
            <w:left w:w="28" w:type="dxa"/>
            <w:bottom w:w="0" w:type="dxa"/>
            <w:right w:w="28" w:type="dxa"/>
          </w:tblCellMar>
        </w:tblPrEx>
        <w:tc>
          <w:tcPr>
            <w:tcW w:w="1155" w:type="dxa"/>
            <w:tcBorders>
              <w:left w:val="single" w:color="auto" w:sz="6" w:space="0"/>
              <w:right w:val="single" w:color="auto" w:sz="6" w:space="0"/>
            </w:tcBorders>
          </w:tcPr>
          <w:p w14:paraId="14C29563">
            <w:pPr>
              <w:spacing w:line="300" w:lineRule="auto"/>
            </w:pPr>
            <w:r>
              <w:rPr>
                <w:rFonts w:hint="eastAsia"/>
              </w:rPr>
              <w:t>位</w:t>
            </w:r>
          </w:p>
        </w:tc>
        <w:tc>
          <w:tcPr>
            <w:tcW w:w="7199" w:type="dxa"/>
            <w:gridSpan w:val="7"/>
            <w:vMerge w:val="continue"/>
            <w:tcBorders>
              <w:left w:val="nil"/>
              <w:right w:val="single" w:color="auto" w:sz="6" w:space="0"/>
            </w:tcBorders>
          </w:tcPr>
          <w:p w14:paraId="07E9C232">
            <w:pPr>
              <w:spacing w:line="300" w:lineRule="auto"/>
            </w:pPr>
          </w:p>
        </w:tc>
      </w:tr>
      <w:tr w14:paraId="6D769BFF">
        <w:tblPrEx>
          <w:tblCellMar>
            <w:top w:w="0" w:type="dxa"/>
            <w:left w:w="28" w:type="dxa"/>
            <w:bottom w:w="0" w:type="dxa"/>
            <w:right w:w="28" w:type="dxa"/>
          </w:tblCellMar>
        </w:tblPrEx>
        <w:tc>
          <w:tcPr>
            <w:tcW w:w="1155" w:type="dxa"/>
            <w:tcBorders>
              <w:left w:val="single" w:color="auto" w:sz="6" w:space="0"/>
              <w:right w:val="single" w:color="auto" w:sz="6" w:space="0"/>
            </w:tcBorders>
          </w:tcPr>
          <w:p w14:paraId="7BA0EBEF">
            <w:pPr>
              <w:spacing w:line="300" w:lineRule="auto"/>
            </w:pPr>
            <w:r>
              <w:rPr>
                <w:rFonts w:hint="eastAsia"/>
              </w:rPr>
              <w:t>评</w:t>
            </w:r>
          </w:p>
        </w:tc>
        <w:tc>
          <w:tcPr>
            <w:tcW w:w="7199" w:type="dxa"/>
            <w:gridSpan w:val="7"/>
            <w:vMerge w:val="continue"/>
            <w:tcBorders>
              <w:left w:val="nil"/>
              <w:right w:val="single" w:color="auto" w:sz="6" w:space="0"/>
            </w:tcBorders>
          </w:tcPr>
          <w:p w14:paraId="67882815">
            <w:pPr>
              <w:spacing w:line="300" w:lineRule="auto"/>
            </w:pPr>
          </w:p>
        </w:tc>
      </w:tr>
      <w:tr w14:paraId="62E97893">
        <w:tblPrEx>
          <w:tblCellMar>
            <w:top w:w="0" w:type="dxa"/>
            <w:left w:w="28" w:type="dxa"/>
            <w:bottom w:w="0" w:type="dxa"/>
            <w:right w:w="28" w:type="dxa"/>
          </w:tblCellMar>
        </w:tblPrEx>
        <w:trPr>
          <w:cantSplit/>
        </w:trPr>
        <w:tc>
          <w:tcPr>
            <w:tcW w:w="1155" w:type="dxa"/>
            <w:tcBorders>
              <w:left w:val="single" w:color="auto" w:sz="6" w:space="0"/>
              <w:right w:val="single" w:color="auto" w:sz="6" w:space="0"/>
            </w:tcBorders>
          </w:tcPr>
          <w:p w14:paraId="7A4B74D4">
            <w:pPr>
              <w:spacing w:line="300" w:lineRule="auto"/>
            </w:pPr>
            <w:r>
              <w:rPr>
                <w:rFonts w:hint="eastAsia"/>
              </w:rPr>
              <w:t>价</w:t>
            </w:r>
          </w:p>
        </w:tc>
        <w:tc>
          <w:tcPr>
            <w:tcW w:w="7199" w:type="dxa"/>
            <w:gridSpan w:val="7"/>
            <w:tcBorders>
              <w:left w:val="nil"/>
              <w:right w:val="single" w:color="auto" w:sz="6" w:space="0"/>
            </w:tcBorders>
          </w:tcPr>
          <w:p w14:paraId="3BCDD823">
            <w:pPr>
              <w:spacing w:line="300" w:lineRule="auto"/>
            </w:pPr>
            <w:r>
              <w:rPr>
                <w:rFonts w:hint="eastAsia"/>
              </w:rPr>
              <w:t>单位</w:t>
            </w:r>
            <w:r>
              <w:t xml:space="preserve"> (</w:t>
            </w:r>
            <w:r>
              <w:rPr>
                <w:rFonts w:hint="eastAsia"/>
              </w:rPr>
              <w:t>盖章</w:t>
            </w:r>
            <w:r>
              <w:t xml:space="preserve">) </w:t>
            </w:r>
          </w:p>
        </w:tc>
      </w:tr>
      <w:tr w14:paraId="6B51BD7C">
        <w:tblPrEx>
          <w:tblCellMar>
            <w:top w:w="0" w:type="dxa"/>
            <w:left w:w="28" w:type="dxa"/>
            <w:bottom w:w="0" w:type="dxa"/>
            <w:right w:w="28" w:type="dxa"/>
          </w:tblCellMar>
        </w:tblPrEx>
        <w:trPr>
          <w:cantSplit/>
        </w:trPr>
        <w:tc>
          <w:tcPr>
            <w:tcW w:w="1155" w:type="dxa"/>
            <w:tcBorders>
              <w:left w:val="single" w:color="auto" w:sz="6" w:space="0"/>
              <w:bottom w:val="single" w:color="auto" w:sz="6" w:space="0"/>
              <w:right w:val="single" w:color="auto" w:sz="6" w:space="0"/>
            </w:tcBorders>
          </w:tcPr>
          <w:p w14:paraId="31C392A5">
            <w:pPr>
              <w:spacing w:line="300" w:lineRule="auto"/>
            </w:pPr>
          </w:p>
        </w:tc>
        <w:tc>
          <w:tcPr>
            <w:tcW w:w="7199" w:type="dxa"/>
            <w:gridSpan w:val="7"/>
            <w:tcBorders>
              <w:left w:val="nil"/>
              <w:bottom w:val="single" w:color="auto" w:sz="6" w:space="0"/>
              <w:right w:val="single" w:color="auto" w:sz="6" w:space="0"/>
            </w:tcBorders>
          </w:tcPr>
          <w:p w14:paraId="36DD855B">
            <w:pPr>
              <w:spacing w:line="300" w:lineRule="auto"/>
            </w:pPr>
            <w:r>
              <w:rPr>
                <w:rFonts w:hint="eastAsia"/>
              </w:rPr>
              <w:t>年月日</w:t>
            </w:r>
          </w:p>
        </w:tc>
      </w:tr>
    </w:tbl>
    <w:p w14:paraId="39DF3E8D">
      <w:pPr>
        <w:spacing w:after="160" w:line="360" w:lineRule="auto"/>
        <w:jc w:val="right"/>
      </w:pPr>
      <w:r>
        <w:rPr>
          <w:rFonts w:hint="eastAsia"/>
        </w:rPr>
        <w:t>（注：每人一表）</w:t>
      </w:r>
    </w:p>
    <w:p w14:paraId="446F6E7B">
      <w:pPr>
        <w:tabs>
          <w:tab w:val="left" w:pos="600"/>
          <w:tab w:val="left" w:pos="840"/>
        </w:tabs>
        <w:spacing w:line="500" w:lineRule="exact"/>
        <w:ind w:firstLine="566"/>
        <w:jc w:val="center"/>
        <w:rPr>
          <w:b/>
        </w:rPr>
      </w:pPr>
      <w:r>
        <w:rPr>
          <w:rFonts w:hint="eastAsia"/>
          <w:b/>
        </w:rPr>
        <w:t>投标人提供的安装、调试重要工序表</w:t>
      </w:r>
    </w:p>
    <w:tbl>
      <w:tblPr>
        <w:tblStyle w:val="42"/>
        <w:tblW w:w="8392"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748"/>
        <w:gridCol w:w="1440"/>
        <w:gridCol w:w="4350"/>
        <w:gridCol w:w="1854"/>
      </w:tblGrid>
      <w:tr w14:paraId="449FD85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48" w:type="dxa"/>
            <w:tcBorders>
              <w:top w:val="single" w:color="000000" w:sz="6" w:space="0"/>
              <w:left w:val="single" w:color="000000" w:sz="6" w:space="0"/>
              <w:bottom w:val="single" w:color="000000" w:sz="6" w:space="0"/>
              <w:right w:val="single" w:color="000000" w:sz="6" w:space="0"/>
            </w:tcBorders>
          </w:tcPr>
          <w:p w14:paraId="01EE3490">
            <w:pPr>
              <w:tabs>
                <w:tab w:val="left" w:pos="600"/>
                <w:tab w:val="left" w:pos="840"/>
              </w:tabs>
              <w:spacing w:line="500" w:lineRule="exact"/>
              <w:jc w:val="center"/>
              <w:rPr>
                <w:b/>
              </w:rPr>
            </w:pPr>
            <w:r>
              <w:rPr>
                <w:rFonts w:hint="eastAsia"/>
                <w:b/>
              </w:rPr>
              <w:t>序号</w:t>
            </w:r>
          </w:p>
        </w:tc>
        <w:tc>
          <w:tcPr>
            <w:tcW w:w="1440" w:type="dxa"/>
            <w:tcBorders>
              <w:top w:val="single" w:color="000000" w:sz="6" w:space="0"/>
              <w:left w:val="single" w:color="000000" w:sz="6" w:space="0"/>
              <w:bottom w:val="single" w:color="000000" w:sz="6" w:space="0"/>
              <w:right w:val="single" w:color="000000" w:sz="6" w:space="0"/>
            </w:tcBorders>
          </w:tcPr>
          <w:p w14:paraId="2A631D8E">
            <w:pPr>
              <w:tabs>
                <w:tab w:val="left" w:pos="600"/>
                <w:tab w:val="left" w:pos="840"/>
              </w:tabs>
              <w:spacing w:line="500" w:lineRule="exact"/>
              <w:jc w:val="center"/>
              <w:rPr>
                <w:b/>
              </w:rPr>
            </w:pPr>
            <w:r>
              <w:rPr>
                <w:rFonts w:hint="eastAsia"/>
                <w:b/>
              </w:rPr>
              <w:t>工序名称</w:t>
            </w:r>
          </w:p>
        </w:tc>
        <w:tc>
          <w:tcPr>
            <w:tcW w:w="4350" w:type="dxa"/>
            <w:tcBorders>
              <w:top w:val="single" w:color="000000" w:sz="6" w:space="0"/>
              <w:left w:val="single" w:color="000000" w:sz="6" w:space="0"/>
              <w:bottom w:val="single" w:color="000000" w:sz="6" w:space="0"/>
              <w:right w:val="single" w:color="000000" w:sz="6" w:space="0"/>
            </w:tcBorders>
          </w:tcPr>
          <w:p w14:paraId="37718EA1">
            <w:pPr>
              <w:tabs>
                <w:tab w:val="left" w:pos="600"/>
                <w:tab w:val="left" w:pos="840"/>
              </w:tabs>
              <w:spacing w:line="500" w:lineRule="exact"/>
              <w:ind w:firstLine="566"/>
              <w:jc w:val="center"/>
              <w:rPr>
                <w:b/>
              </w:rPr>
            </w:pPr>
            <w:r>
              <w:rPr>
                <w:rFonts w:hint="eastAsia"/>
                <w:b/>
              </w:rPr>
              <w:t>工序主要内容</w:t>
            </w:r>
          </w:p>
        </w:tc>
        <w:tc>
          <w:tcPr>
            <w:tcW w:w="1854" w:type="dxa"/>
            <w:tcBorders>
              <w:top w:val="single" w:color="000000" w:sz="6" w:space="0"/>
              <w:left w:val="single" w:color="000000" w:sz="6" w:space="0"/>
              <w:bottom w:val="single" w:color="000000" w:sz="6" w:space="0"/>
              <w:right w:val="single" w:color="000000" w:sz="6" w:space="0"/>
            </w:tcBorders>
          </w:tcPr>
          <w:p w14:paraId="1A799041">
            <w:pPr>
              <w:tabs>
                <w:tab w:val="left" w:pos="600"/>
                <w:tab w:val="left" w:pos="804"/>
                <w:tab w:val="left" w:pos="840"/>
                <w:tab w:val="center" w:pos="1242"/>
              </w:tabs>
              <w:spacing w:line="500" w:lineRule="exact"/>
              <w:rPr>
                <w:b/>
              </w:rPr>
            </w:pPr>
            <w:r>
              <w:rPr>
                <w:rFonts w:hint="eastAsia"/>
                <w:b/>
              </w:rPr>
              <w:tab/>
            </w:r>
            <w:r>
              <w:rPr>
                <w:rFonts w:hint="eastAsia"/>
                <w:b/>
              </w:rPr>
              <w:t>备注</w:t>
            </w:r>
          </w:p>
        </w:tc>
      </w:tr>
      <w:tr w14:paraId="7785A04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48" w:type="dxa"/>
            <w:tcBorders>
              <w:top w:val="single" w:color="000000" w:sz="6" w:space="0"/>
              <w:left w:val="single" w:color="000000" w:sz="6" w:space="0"/>
              <w:bottom w:val="single" w:color="000000" w:sz="6" w:space="0"/>
              <w:right w:val="single" w:color="000000" w:sz="6" w:space="0"/>
            </w:tcBorders>
            <w:vAlign w:val="center"/>
          </w:tcPr>
          <w:p w14:paraId="433A78F0">
            <w:pPr>
              <w:tabs>
                <w:tab w:val="left" w:pos="600"/>
                <w:tab w:val="left" w:pos="840"/>
              </w:tabs>
              <w:spacing w:line="500" w:lineRule="exact"/>
              <w:jc w:val="center"/>
            </w:pPr>
            <w:r>
              <w:rPr>
                <w:rFonts w:hint="eastAsia"/>
              </w:rPr>
              <w:t>1</w:t>
            </w:r>
          </w:p>
        </w:tc>
        <w:tc>
          <w:tcPr>
            <w:tcW w:w="1440" w:type="dxa"/>
            <w:tcBorders>
              <w:top w:val="single" w:color="000000" w:sz="6" w:space="0"/>
              <w:left w:val="single" w:color="000000" w:sz="6" w:space="0"/>
              <w:bottom w:val="single" w:color="000000" w:sz="6" w:space="0"/>
              <w:right w:val="single" w:color="000000" w:sz="6" w:space="0"/>
            </w:tcBorders>
          </w:tcPr>
          <w:p w14:paraId="353E5D0A">
            <w:pPr>
              <w:tabs>
                <w:tab w:val="left" w:pos="600"/>
                <w:tab w:val="left" w:pos="840"/>
              </w:tabs>
              <w:spacing w:line="500" w:lineRule="exact"/>
            </w:pPr>
          </w:p>
        </w:tc>
        <w:tc>
          <w:tcPr>
            <w:tcW w:w="4350" w:type="dxa"/>
            <w:tcBorders>
              <w:top w:val="single" w:color="000000" w:sz="6" w:space="0"/>
              <w:left w:val="single" w:color="000000" w:sz="6" w:space="0"/>
              <w:bottom w:val="single" w:color="000000" w:sz="6" w:space="0"/>
              <w:right w:val="single" w:color="000000" w:sz="6" w:space="0"/>
            </w:tcBorders>
          </w:tcPr>
          <w:p w14:paraId="348417E8">
            <w:pPr>
              <w:tabs>
                <w:tab w:val="left" w:pos="600"/>
                <w:tab w:val="left" w:pos="840"/>
              </w:tabs>
              <w:spacing w:line="500" w:lineRule="exact"/>
              <w:ind w:firstLine="566"/>
            </w:pPr>
          </w:p>
        </w:tc>
        <w:tc>
          <w:tcPr>
            <w:tcW w:w="1854" w:type="dxa"/>
            <w:tcBorders>
              <w:top w:val="single" w:color="000000" w:sz="6" w:space="0"/>
              <w:left w:val="single" w:color="000000" w:sz="6" w:space="0"/>
              <w:bottom w:val="single" w:color="000000" w:sz="6" w:space="0"/>
              <w:right w:val="single" w:color="000000" w:sz="6" w:space="0"/>
            </w:tcBorders>
          </w:tcPr>
          <w:p w14:paraId="4A95FFDD">
            <w:pPr>
              <w:tabs>
                <w:tab w:val="left" w:pos="600"/>
                <w:tab w:val="left" w:pos="840"/>
              </w:tabs>
              <w:spacing w:line="500" w:lineRule="exact"/>
              <w:ind w:firstLine="566"/>
            </w:pPr>
          </w:p>
        </w:tc>
      </w:tr>
      <w:tr w14:paraId="38946A6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48" w:type="dxa"/>
            <w:tcBorders>
              <w:top w:val="single" w:color="000000" w:sz="6" w:space="0"/>
              <w:left w:val="single" w:color="000000" w:sz="6" w:space="0"/>
              <w:bottom w:val="single" w:color="000000" w:sz="6" w:space="0"/>
              <w:right w:val="single" w:color="000000" w:sz="6" w:space="0"/>
            </w:tcBorders>
            <w:vAlign w:val="center"/>
          </w:tcPr>
          <w:p w14:paraId="5C63435F">
            <w:pPr>
              <w:tabs>
                <w:tab w:val="left" w:pos="600"/>
                <w:tab w:val="left" w:pos="840"/>
              </w:tabs>
              <w:spacing w:line="500" w:lineRule="exact"/>
              <w:jc w:val="center"/>
            </w:pPr>
            <w:r>
              <w:rPr>
                <w:rFonts w:hint="eastAsia"/>
              </w:rPr>
              <w:t>2</w:t>
            </w:r>
          </w:p>
        </w:tc>
        <w:tc>
          <w:tcPr>
            <w:tcW w:w="1440" w:type="dxa"/>
            <w:tcBorders>
              <w:top w:val="single" w:color="000000" w:sz="6" w:space="0"/>
              <w:left w:val="single" w:color="000000" w:sz="6" w:space="0"/>
              <w:bottom w:val="single" w:color="000000" w:sz="6" w:space="0"/>
              <w:right w:val="single" w:color="000000" w:sz="6" w:space="0"/>
            </w:tcBorders>
          </w:tcPr>
          <w:p w14:paraId="671C8387">
            <w:pPr>
              <w:tabs>
                <w:tab w:val="left" w:pos="600"/>
                <w:tab w:val="left" w:pos="840"/>
              </w:tabs>
              <w:spacing w:line="500" w:lineRule="exact"/>
            </w:pPr>
          </w:p>
        </w:tc>
        <w:tc>
          <w:tcPr>
            <w:tcW w:w="4350" w:type="dxa"/>
            <w:tcBorders>
              <w:top w:val="single" w:color="000000" w:sz="6" w:space="0"/>
              <w:left w:val="single" w:color="000000" w:sz="6" w:space="0"/>
              <w:bottom w:val="single" w:color="000000" w:sz="6" w:space="0"/>
              <w:right w:val="single" w:color="000000" w:sz="6" w:space="0"/>
            </w:tcBorders>
          </w:tcPr>
          <w:p w14:paraId="4BEEC116">
            <w:pPr>
              <w:tabs>
                <w:tab w:val="left" w:pos="600"/>
                <w:tab w:val="left" w:pos="840"/>
              </w:tabs>
              <w:spacing w:line="500" w:lineRule="exact"/>
              <w:ind w:firstLine="566"/>
            </w:pPr>
          </w:p>
        </w:tc>
        <w:tc>
          <w:tcPr>
            <w:tcW w:w="1854" w:type="dxa"/>
            <w:tcBorders>
              <w:top w:val="single" w:color="000000" w:sz="6" w:space="0"/>
              <w:left w:val="single" w:color="000000" w:sz="6" w:space="0"/>
              <w:bottom w:val="single" w:color="000000" w:sz="6" w:space="0"/>
              <w:right w:val="single" w:color="000000" w:sz="6" w:space="0"/>
            </w:tcBorders>
          </w:tcPr>
          <w:p w14:paraId="21724A2D">
            <w:pPr>
              <w:tabs>
                <w:tab w:val="left" w:pos="600"/>
                <w:tab w:val="left" w:pos="840"/>
              </w:tabs>
              <w:spacing w:line="500" w:lineRule="exact"/>
              <w:ind w:firstLine="566"/>
            </w:pPr>
          </w:p>
        </w:tc>
      </w:tr>
      <w:tr w14:paraId="58E32E2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48" w:type="dxa"/>
            <w:tcBorders>
              <w:top w:val="single" w:color="000000" w:sz="6" w:space="0"/>
              <w:left w:val="single" w:color="000000" w:sz="6" w:space="0"/>
              <w:bottom w:val="single" w:color="000000" w:sz="6" w:space="0"/>
              <w:right w:val="single" w:color="000000" w:sz="6" w:space="0"/>
            </w:tcBorders>
            <w:vAlign w:val="center"/>
          </w:tcPr>
          <w:p w14:paraId="30C1D066">
            <w:pPr>
              <w:tabs>
                <w:tab w:val="left" w:pos="600"/>
                <w:tab w:val="left" w:pos="840"/>
              </w:tabs>
              <w:spacing w:line="500" w:lineRule="exact"/>
              <w:jc w:val="center"/>
            </w:pPr>
            <w:r>
              <w:rPr>
                <w:rFonts w:hint="eastAsia"/>
              </w:rPr>
              <w:t>3</w:t>
            </w:r>
          </w:p>
        </w:tc>
        <w:tc>
          <w:tcPr>
            <w:tcW w:w="1440" w:type="dxa"/>
            <w:tcBorders>
              <w:top w:val="single" w:color="000000" w:sz="6" w:space="0"/>
              <w:left w:val="single" w:color="000000" w:sz="6" w:space="0"/>
              <w:bottom w:val="single" w:color="000000" w:sz="6" w:space="0"/>
              <w:right w:val="single" w:color="000000" w:sz="6" w:space="0"/>
            </w:tcBorders>
          </w:tcPr>
          <w:p w14:paraId="1664A5A2">
            <w:pPr>
              <w:tabs>
                <w:tab w:val="left" w:pos="600"/>
                <w:tab w:val="left" w:pos="840"/>
              </w:tabs>
              <w:spacing w:line="500" w:lineRule="exact"/>
            </w:pPr>
          </w:p>
        </w:tc>
        <w:tc>
          <w:tcPr>
            <w:tcW w:w="4350" w:type="dxa"/>
            <w:tcBorders>
              <w:top w:val="single" w:color="000000" w:sz="6" w:space="0"/>
              <w:left w:val="single" w:color="000000" w:sz="6" w:space="0"/>
              <w:bottom w:val="single" w:color="000000" w:sz="6" w:space="0"/>
              <w:right w:val="single" w:color="000000" w:sz="6" w:space="0"/>
            </w:tcBorders>
          </w:tcPr>
          <w:p w14:paraId="2E3303C1">
            <w:pPr>
              <w:tabs>
                <w:tab w:val="left" w:pos="600"/>
                <w:tab w:val="left" w:pos="840"/>
              </w:tabs>
              <w:spacing w:line="500" w:lineRule="exact"/>
            </w:pPr>
          </w:p>
        </w:tc>
        <w:tc>
          <w:tcPr>
            <w:tcW w:w="1854" w:type="dxa"/>
            <w:tcBorders>
              <w:top w:val="single" w:color="000000" w:sz="6" w:space="0"/>
              <w:left w:val="single" w:color="000000" w:sz="6" w:space="0"/>
              <w:bottom w:val="single" w:color="000000" w:sz="6" w:space="0"/>
              <w:right w:val="single" w:color="000000" w:sz="6" w:space="0"/>
            </w:tcBorders>
          </w:tcPr>
          <w:p w14:paraId="7623DD06">
            <w:pPr>
              <w:tabs>
                <w:tab w:val="left" w:pos="600"/>
                <w:tab w:val="left" w:pos="840"/>
              </w:tabs>
              <w:spacing w:line="500" w:lineRule="exact"/>
              <w:ind w:firstLine="566"/>
            </w:pPr>
          </w:p>
        </w:tc>
      </w:tr>
      <w:tr w14:paraId="1553739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48" w:type="dxa"/>
            <w:tcBorders>
              <w:top w:val="single" w:color="000000" w:sz="6" w:space="0"/>
              <w:left w:val="single" w:color="000000" w:sz="6" w:space="0"/>
              <w:bottom w:val="single" w:color="000000" w:sz="6" w:space="0"/>
              <w:right w:val="single" w:color="000000" w:sz="6" w:space="0"/>
            </w:tcBorders>
            <w:vAlign w:val="center"/>
          </w:tcPr>
          <w:p w14:paraId="1E6F966B">
            <w:pPr>
              <w:tabs>
                <w:tab w:val="left" w:pos="600"/>
                <w:tab w:val="left" w:pos="840"/>
              </w:tabs>
              <w:spacing w:line="500" w:lineRule="exact"/>
              <w:jc w:val="center"/>
            </w:pPr>
            <w:r>
              <w:rPr>
                <w:rFonts w:hint="eastAsia"/>
              </w:rPr>
              <w:t>4</w:t>
            </w:r>
          </w:p>
        </w:tc>
        <w:tc>
          <w:tcPr>
            <w:tcW w:w="1440" w:type="dxa"/>
            <w:tcBorders>
              <w:top w:val="single" w:color="000000" w:sz="6" w:space="0"/>
              <w:left w:val="single" w:color="000000" w:sz="6" w:space="0"/>
              <w:bottom w:val="single" w:color="000000" w:sz="6" w:space="0"/>
              <w:right w:val="single" w:color="000000" w:sz="6" w:space="0"/>
            </w:tcBorders>
          </w:tcPr>
          <w:p w14:paraId="39EA5C71">
            <w:pPr>
              <w:tabs>
                <w:tab w:val="left" w:pos="600"/>
                <w:tab w:val="left" w:pos="840"/>
              </w:tabs>
              <w:spacing w:line="500" w:lineRule="exact"/>
            </w:pPr>
          </w:p>
        </w:tc>
        <w:tc>
          <w:tcPr>
            <w:tcW w:w="4350" w:type="dxa"/>
            <w:tcBorders>
              <w:top w:val="single" w:color="000000" w:sz="6" w:space="0"/>
              <w:left w:val="single" w:color="000000" w:sz="6" w:space="0"/>
              <w:bottom w:val="single" w:color="000000" w:sz="6" w:space="0"/>
              <w:right w:val="single" w:color="000000" w:sz="6" w:space="0"/>
            </w:tcBorders>
          </w:tcPr>
          <w:p w14:paraId="6EE91F28">
            <w:pPr>
              <w:tabs>
                <w:tab w:val="left" w:pos="600"/>
                <w:tab w:val="left" w:pos="840"/>
              </w:tabs>
              <w:spacing w:line="500" w:lineRule="exact"/>
              <w:ind w:firstLine="566"/>
            </w:pPr>
          </w:p>
        </w:tc>
        <w:tc>
          <w:tcPr>
            <w:tcW w:w="1854" w:type="dxa"/>
            <w:tcBorders>
              <w:top w:val="single" w:color="000000" w:sz="6" w:space="0"/>
              <w:left w:val="single" w:color="000000" w:sz="6" w:space="0"/>
              <w:bottom w:val="single" w:color="000000" w:sz="6" w:space="0"/>
              <w:right w:val="single" w:color="000000" w:sz="6" w:space="0"/>
            </w:tcBorders>
          </w:tcPr>
          <w:p w14:paraId="005D4602">
            <w:pPr>
              <w:tabs>
                <w:tab w:val="left" w:pos="600"/>
                <w:tab w:val="left" w:pos="840"/>
              </w:tabs>
              <w:spacing w:line="500" w:lineRule="exact"/>
              <w:ind w:firstLine="566"/>
            </w:pPr>
          </w:p>
        </w:tc>
      </w:tr>
      <w:tr w14:paraId="4C9F89A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48" w:type="dxa"/>
            <w:tcBorders>
              <w:top w:val="single" w:color="000000" w:sz="6" w:space="0"/>
              <w:left w:val="single" w:color="000000" w:sz="6" w:space="0"/>
              <w:bottom w:val="single" w:color="000000" w:sz="6" w:space="0"/>
              <w:right w:val="single" w:color="000000" w:sz="6" w:space="0"/>
            </w:tcBorders>
            <w:vAlign w:val="center"/>
          </w:tcPr>
          <w:p w14:paraId="3D868941">
            <w:pPr>
              <w:tabs>
                <w:tab w:val="left" w:pos="600"/>
                <w:tab w:val="left" w:pos="840"/>
              </w:tabs>
              <w:spacing w:line="500" w:lineRule="exact"/>
              <w:jc w:val="center"/>
            </w:pPr>
            <w:r>
              <w:rPr>
                <w:rFonts w:hint="eastAsia"/>
              </w:rPr>
              <w:t>5</w:t>
            </w:r>
          </w:p>
        </w:tc>
        <w:tc>
          <w:tcPr>
            <w:tcW w:w="1440" w:type="dxa"/>
            <w:tcBorders>
              <w:top w:val="single" w:color="000000" w:sz="6" w:space="0"/>
              <w:left w:val="single" w:color="000000" w:sz="6" w:space="0"/>
              <w:bottom w:val="single" w:color="000000" w:sz="6" w:space="0"/>
              <w:right w:val="single" w:color="000000" w:sz="6" w:space="0"/>
            </w:tcBorders>
          </w:tcPr>
          <w:p w14:paraId="6D4C4E32">
            <w:pPr>
              <w:tabs>
                <w:tab w:val="left" w:pos="600"/>
                <w:tab w:val="left" w:pos="840"/>
              </w:tabs>
              <w:spacing w:line="500" w:lineRule="exact"/>
            </w:pPr>
          </w:p>
        </w:tc>
        <w:tc>
          <w:tcPr>
            <w:tcW w:w="4350" w:type="dxa"/>
            <w:tcBorders>
              <w:top w:val="single" w:color="000000" w:sz="6" w:space="0"/>
              <w:left w:val="single" w:color="000000" w:sz="6" w:space="0"/>
              <w:bottom w:val="single" w:color="000000" w:sz="6" w:space="0"/>
              <w:right w:val="single" w:color="000000" w:sz="6" w:space="0"/>
            </w:tcBorders>
          </w:tcPr>
          <w:p w14:paraId="2360C070">
            <w:pPr>
              <w:tabs>
                <w:tab w:val="left" w:pos="600"/>
                <w:tab w:val="left" w:pos="840"/>
              </w:tabs>
              <w:spacing w:line="500" w:lineRule="exact"/>
              <w:ind w:firstLine="566"/>
            </w:pPr>
          </w:p>
        </w:tc>
        <w:tc>
          <w:tcPr>
            <w:tcW w:w="1854" w:type="dxa"/>
            <w:tcBorders>
              <w:top w:val="single" w:color="000000" w:sz="6" w:space="0"/>
              <w:left w:val="single" w:color="000000" w:sz="6" w:space="0"/>
              <w:bottom w:val="single" w:color="000000" w:sz="6" w:space="0"/>
              <w:right w:val="single" w:color="000000" w:sz="6" w:space="0"/>
            </w:tcBorders>
          </w:tcPr>
          <w:p w14:paraId="51C34E4C">
            <w:pPr>
              <w:tabs>
                <w:tab w:val="left" w:pos="600"/>
                <w:tab w:val="left" w:pos="840"/>
              </w:tabs>
              <w:spacing w:line="500" w:lineRule="exact"/>
              <w:ind w:firstLine="566"/>
            </w:pPr>
          </w:p>
        </w:tc>
      </w:tr>
    </w:tbl>
    <w:p w14:paraId="1F6FE565">
      <w:pPr>
        <w:rPr>
          <w:rFonts w:ascii="Arial" w:hAnsi="Arial" w:cs="Arial"/>
        </w:rPr>
      </w:pPr>
    </w:p>
    <w:p w14:paraId="22C0097E">
      <w:pPr>
        <w:widowControl/>
        <w:autoSpaceDE w:val="0"/>
        <w:autoSpaceDN w:val="0"/>
        <w:snapToGrid w:val="0"/>
        <w:spacing w:line="360" w:lineRule="auto"/>
        <w:ind w:firstLine="480" w:firstLineChars="200"/>
        <w:textAlignment w:val="bottom"/>
      </w:pPr>
      <w:r>
        <w:rPr>
          <w:rFonts w:hint="eastAsia"/>
        </w:rPr>
        <w:t>投标人</w:t>
      </w:r>
      <w:r>
        <w:t>应及时提供与本合同货物有关的工程设计、设备监造、检验、土建、安装、调试、验收、性能验收试验、运行、检修等相应的技术指导、技术配合、技术培训等全过程的服务，并且负责解决合同产品在安装、调试过程中发现的问题。</w:t>
      </w:r>
      <w:r>
        <w:rPr>
          <w:rFonts w:hint="eastAsia"/>
        </w:rPr>
        <w:t>投标人</w:t>
      </w:r>
      <w:r>
        <w:t>参加安装调试的人员应有合格的技术水平，能够协调解决安装调试过程中的全部问题。</w:t>
      </w:r>
    </w:p>
    <w:p w14:paraId="3C38EA49">
      <w:pPr>
        <w:widowControl/>
        <w:autoSpaceDE w:val="0"/>
        <w:autoSpaceDN w:val="0"/>
        <w:snapToGrid w:val="0"/>
        <w:spacing w:line="360" w:lineRule="auto"/>
        <w:ind w:firstLine="480" w:firstLineChars="200"/>
        <w:textAlignment w:val="bottom"/>
        <w:rPr>
          <w:rFonts w:ascii="Arial" w:hAnsi="Arial" w:cs="Arial"/>
          <w:color w:val="000000"/>
        </w:rPr>
      </w:pPr>
      <w:r>
        <w:rPr>
          <w:rFonts w:hint="eastAsia"/>
        </w:rPr>
        <w:t>投标人</w:t>
      </w:r>
      <w:r>
        <w:t>应在合同生效后1个月以内书面告知</w:t>
      </w:r>
      <w:r>
        <w:rPr>
          <w:rFonts w:hint="eastAsia"/>
        </w:rPr>
        <w:t>招标人</w:t>
      </w:r>
      <w:r>
        <w:t>技术服务工作的组织计划，</w:t>
      </w:r>
      <w:r>
        <w:rPr>
          <w:rFonts w:hint="eastAsia"/>
        </w:rPr>
        <w:t>招标人</w:t>
      </w:r>
      <w:r>
        <w:rPr>
          <w:rFonts w:ascii="Arial" w:hAnsi="Arial" w:cs="Arial"/>
          <w:color w:val="000000"/>
        </w:rPr>
        <w:t>有权进行调整。</w:t>
      </w:r>
    </w:p>
    <w:p w14:paraId="6E80BF3E">
      <w:pPr>
        <w:pStyle w:val="3"/>
        <w:rPr>
          <w:rFonts w:ascii="Arial" w:cs="Arial"/>
          <w:sz w:val="24"/>
          <w:szCs w:val="24"/>
        </w:rPr>
      </w:pPr>
      <w:r>
        <w:rPr>
          <w:rFonts w:ascii="Arial" w:cs="Arial"/>
          <w:sz w:val="24"/>
          <w:szCs w:val="24"/>
        </w:rPr>
        <w:t>2设计联络</w:t>
      </w:r>
    </w:p>
    <w:p w14:paraId="5C35ADB9">
      <w:pPr>
        <w:widowControl/>
        <w:autoSpaceDE w:val="0"/>
        <w:autoSpaceDN w:val="0"/>
        <w:snapToGrid w:val="0"/>
        <w:spacing w:line="360" w:lineRule="auto"/>
        <w:textAlignment w:val="bottom"/>
      </w:pPr>
      <w:r>
        <w:t>2.1 现场代表</w:t>
      </w:r>
    </w:p>
    <w:p w14:paraId="12568A52">
      <w:pPr>
        <w:widowControl/>
        <w:autoSpaceDE w:val="0"/>
        <w:autoSpaceDN w:val="0"/>
        <w:snapToGrid w:val="0"/>
        <w:spacing w:line="360" w:lineRule="auto"/>
        <w:textAlignment w:val="bottom"/>
      </w:pPr>
      <w:r>
        <w:t xml:space="preserve">2.1.1 </w:t>
      </w:r>
      <w:r>
        <w:rPr>
          <w:rFonts w:hint="eastAsia"/>
        </w:rPr>
        <w:t>投标人</w:t>
      </w:r>
      <w:r>
        <w:t>应根据合同履行的需要为本项目设现场代表，负责物资生产、供货、质量检验、交接、售后服务等环节的业务协调以及与</w:t>
      </w:r>
      <w:r>
        <w:rPr>
          <w:rFonts w:hint="eastAsia"/>
        </w:rPr>
        <w:t>招标人</w:t>
      </w:r>
      <w:r>
        <w:t>、监理单位等相关单位的联络、沟通工作。</w:t>
      </w:r>
    </w:p>
    <w:p w14:paraId="1D0525C9">
      <w:pPr>
        <w:widowControl/>
        <w:autoSpaceDE w:val="0"/>
        <w:autoSpaceDN w:val="0"/>
        <w:snapToGrid w:val="0"/>
        <w:spacing w:line="360" w:lineRule="auto"/>
        <w:textAlignment w:val="bottom"/>
      </w:pPr>
      <w:r>
        <w:t>2.1.2 现场代表的变更、撤销应获得</w:t>
      </w:r>
      <w:r>
        <w:rPr>
          <w:rFonts w:hint="eastAsia"/>
        </w:rPr>
        <w:t>招标人</w:t>
      </w:r>
      <w:r>
        <w:t>的书面认可。</w:t>
      </w:r>
      <w:r>
        <w:rPr>
          <w:rFonts w:hint="eastAsia"/>
        </w:rPr>
        <w:t>招标人</w:t>
      </w:r>
      <w:r>
        <w:t>有权根据现场代表的工作情况，提出撤换人员的要求。</w:t>
      </w:r>
      <w:r>
        <w:rPr>
          <w:rFonts w:hint="eastAsia"/>
        </w:rPr>
        <w:t>投标人</w:t>
      </w:r>
      <w:r>
        <w:t>应根据</w:t>
      </w:r>
      <w:r>
        <w:rPr>
          <w:rFonts w:hint="eastAsia"/>
        </w:rPr>
        <w:t>招标人</w:t>
      </w:r>
      <w:r>
        <w:t>的要求在3个工作日内重新选任现场代表。</w:t>
      </w:r>
    </w:p>
    <w:p w14:paraId="69875A1F">
      <w:pPr>
        <w:widowControl/>
        <w:autoSpaceDE w:val="0"/>
        <w:autoSpaceDN w:val="0"/>
        <w:snapToGrid w:val="0"/>
        <w:spacing w:line="360" w:lineRule="auto"/>
        <w:textAlignment w:val="bottom"/>
      </w:pPr>
      <w:r>
        <w:t xml:space="preserve">2.2 </w:t>
      </w:r>
      <w:r>
        <w:rPr>
          <w:rFonts w:hint="eastAsia"/>
        </w:rPr>
        <w:t>投标人</w:t>
      </w:r>
      <w:r>
        <w:t>要根据</w:t>
      </w:r>
      <w:r>
        <w:rPr>
          <w:rFonts w:hint="eastAsia"/>
        </w:rPr>
        <w:t>招标人</w:t>
      </w:r>
      <w:r>
        <w:t>需求计划组织、安排生产，确保物资供应；根据</w:t>
      </w:r>
      <w:r>
        <w:rPr>
          <w:rFonts w:hint="eastAsia"/>
        </w:rPr>
        <w:t>招标人</w:t>
      </w:r>
      <w:r>
        <w:t>要求随时向</w:t>
      </w:r>
      <w:r>
        <w:rPr>
          <w:rFonts w:hint="eastAsia"/>
        </w:rPr>
        <w:t>招标人</w:t>
      </w:r>
      <w:r>
        <w:t>提交进度报告，如果实际进度比计划进度滞后，应按</w:t>
      </w:r>
      <w:r>
        <w:rPr>
          <w:rFonts w:hint="eastAsia"/>
        </w:rPr>
        <w:t>招标人</w:t>
      </w:r>
      <w:r>
        <w:t>要求给出原因及改进措施，保证合同按期履行。</w:t>
      </w:r>
    </w:p>
    <w:p w14:paraId="089949C1">
      <w:pPr>
        <w:pStyle w:val="3"/>
        <w:rPr>
          <w:rFonts w:ascii="Arial" w:cs="Arial"/>
          <w:sz w:val="24"/>
          <w:szCs w:val="24"/>
        </w:rPr>
      </w:pPr>
      <w:r>
        <w:rPr>
          <w:rFonts w:hint="eastAsia" w:ascii="Arial" w:cs="Arial"/>
          <w:sz w:val="24"/>
          <w:szCs w:val="24"/>
        </w:rPr>
        <w:t>3 培训</w:t>
      </w:r>
    </w:p>
    <w:p w14:paraId="7BAF3991">
      <w:pPr>
        <w:widowControl/>
        <w:autoSpaceDE w:val="0"/>
        <w:autoSpaceDN w:val="0"/>
        <w:snapToGrid w:val="0"/>
        <w:spacing w:line="360" w:lineRule="auto"/>
        <w:textAlignment w:val="bottom"/>
      </w:pPr>
      <w:r>
        <w:rPr>
          <w:rFonts w:hint="eastAsia"/>
        </w:rPr>
        <w:t>3.1 为使集控室L</w:t>
      </w:r>
      <w:r>
        <w:t>ED</w:t>
      </w:r>
      <w:r>
        <w:rPr>
          <w:rFonts w:hint="eastAsia"/>
        </w:rPr>
        <w:t>显示系统能正常安装、调试、运行、维护，投标人有义务提供相应的技术培训。培训内容和时间应与工程进度相一致。</w:t>
      </w:r>
    </w:p>
    <w:p w14:paraId="0C406252">
      <w:pPr>
        <w:widowControl/>
        <w:autoSpaceDE w:val="0"/>
        <w:autoSpaceDN w:val="0"/>
        <w:snapToGrid w:val="0"/>
        <w:spacing w:line="360" w:lineRule="auto"/>
        <w:textAlignment w:val="bottom"/>
      </w:pPr>
    </w:p>
    <w:tbl>
      <w:tblPr>
        <w:tblStyle w:val="42"/>
        <w:tblW w:w="8362"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690"/>
        <w:gridCol w:w="1738"/>
        <w:gridCol w:w="1515"/>
        <w:gridCol w:w="1136"/>
        <w:gridCol w:w="1137"/>
        <w:gridCol w:w="1136"/>
        <w:gridCol w:w="1010"/>
      </w:tblGrid>
      <w:tr w14:paraId="1EA0574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Pr>
        <w:tc>
          <w:tcPr>
            <w:tcW w:w="690" w:type="dxa"/>
            <w:vMerge w:val="restart"/>
            <w:tcBorders>
              <w:top w:val="single" w:color="auto" w:sz="6" w:space="0"/>
              <w:left w:val="single" w:color="auto" w:sz="6" w:space="0"/>
              <w:bottom w:val="single" w:color="000000" w:sz="6" w:space="0"/>
              <w:right w:val="nil"/>
            </w:tcBorders>
            <w:vAlign w:val="center"/>
          </w:tcPr>
          <w:p w14:paraId="1D0893F8">
            <w:pPr>
              <w:spacing w:line="360" w:lineRule="auto"/>
              <w:jc w:val="center"/>
              <w:rPr>
                <w:rFonts w:eastAsia="Times New Roman"/>
                <w:b/>
              </w:rPr>
            </w:pPr>
            <w:r>
              <w:rPr>
                <w:rFonts w:hint="eastAsia"/>
                <w:b/>
              </w:rPr>
              <w:t>序号</w:t>
            </w:r>
          </w:p>
        </w:tc>
        <w:tc>
          <w:tcPr>
            <w:tcW w:w="1738" w:type="dxa"/>
            <w:vMerge w:val="restart"/>
            <w:tcBorders>
              <w:top w:val="single" w:color="auto" w:sz="6" w:space="0"/>
              <w:left w:val="single" w:color="auto" w:sz="6" w:space="0"/>
              <w:bottom w:val="single" w:color="000000" w:sz="6" w:space="0"/>
              <w:right w:val="nil"/>
            </w:tcBorders>
            <w:vAlign w:val="center"/>
          </w:tcPr>
          <w:p w14:paraId="6D216310">
            <w:pPr>
              <w:spacing w:line="360" w:lineRule="auto"/>
              <w:jc w:val="center"/>
              <w:rPr>
                <w:rFonts w:eastAsia="Times New Roman"/>
                <w:b/>
              </w:rPr>
            </w:pPr>
            <w:r>
              <w:rPr>
                <w:rFonts w:hint="eastAsia"/>
                <w:b/>
              </w:rPr>
              <w:t>培训内容</w:t>
            </w:r>
          </w:p>
        </w:tc>
        <w:tc>
          <w:tcPr>
            <w:tcW w:w="1515" w:type="dxa"/>
            <w:vMerge w:val="restart"/>
            <w:tcBorders>
              <w:top w:val="single" w:color="auto" w:sz="6" w:space="0"/>
              <w:left w:val="single" w:color="auto" w:sz="6" w:space="0"/>
              <w:bottom w:val="single" w:color="000000" w:sz="6" w:space="0"/>
              <w:right w:val="single" w:color="auto" w:sz="6" w:space="0"/>
            </w:tcBorders>
            <w:vAlign w:val="center"/>
          </w:tcPr>
          <w:p w14:paraId="34E25214">
            <w:pPr>
              <w:spacing w:line="360" w:lineRule="auto"/>
              <w:jc w:val="center"/>
              <w:rPr>
                <w:rFonts w:eastAsia="Times New Roman"/>
                <w:b/>
              </w:rPr>
            </w:pPr>
            <w:r>
              <w:rPr>
                <w:rFonts w:hint="eastAsia"/>
                <w:b/>
              </w:rPr>
              <w:t>计划人月数</w:t>
            </w:r>
          </w:p>
        </w:tc>
        <w:tc>
          <w:tcPr>
            <w:tcW w:w="2273" w:type="dxa"/>
            <w:gridSpan w:val="2"/>
            <w:tcBorders>
              <w:top w:val="single" w:color="auto" w:sz="6" w:space="0"/>
              <w:left w:val="nil"/>
              <w:bottom w:val="single" w:color="auto" w:sz="6" w:space="0"/>
              <w:right w:val="nil"/>
            </w:tcBorders>
            <w:vAlign w:val="center"/>
          </w:tcPr>
          <w:p w14:paraId="69738714">
            <w:pPr>
              <w:spacing w:line="360" w:lineRule="auto"/>
              <w:jc w:val="center"/>
              <w:rPr>
                <w:rFonts w:eastAsia="Times New Roman"/>
                <w:b/>
              </w:rPr>
            </w:pPr>
            <w:r>
              <w:rPr>
                <w:rFonts w:hint="eastAsia"/>
                <w:b/>
              </w:rPr>
              <w:t>培训教师构成</w:t>
            </w:r>
          </w:p>
        </w:tc>
        <w:tc>
          <w:tcPr>
            <w:tcW w:w="1136" w:type="dxa"/>
            <w:vMerge w:val="restart"/>
            <w:tcBorders>
              <w:top w:val="single" w:color="auto" w:sz="6" w:space="0"/>
              <w:left w:val="single" w:color="auto" w:sz="6" w:space="0"/>
              <w:bottom w:val="single" w:color="000000" w:sz="6" w:space="0"/>
              <w:right w:val="nil"/>
            </w:tcBorders>
            <w:vAlign w:val="center"/>
          </w:tcPr>
          <w:p w14:paraId="101204DA">
            <w:pPr>
              <w:spacing w:line="360" w:lineRule="auto"/>
              <w:jc w:val="center"/>
              <w:rPr>
                <w:rFonts w:eastAsia="Times New Roman"/>
                <w:b/>
              </w:rPr>
            </w:pPr>
            <w:r>
              <w:rPr>
                <w:rFonts w:hint="eastAsia"/>
                <w:b/>
              </w:rPr>
              <w:t>地点</w:t>
            </w:r>
          </w:p>
        </w:tc>
        <w:tc>
          <w:tcPr>
            <w:tcW w:w="1010" w:type="dxa"/>
            <w:vMerge w:val="restart"/>
            <w:tcBorders>
              <w:top w:val="single" w:color="auto" w:sz="6" w:space="0"/>
              <w:left w:val="single" w:color="auto" w:sz="6" w:space="0"/>
              <w:bottom w:val="single" w:color="000000" w:sz="6" w:space="0"/>
              <w:right w:val="single" w:color="auto" w:sz="6" w:space="0"/>
            </w:tcBorders>
            <w:vAlign w:val="center"/>
          </w:tcPr>
          <w:p w14:paraId="1E50D8F8">
            <w:pPr>
              <w:spacing w:line="360" w:lineRule="auto"/>
              <w:jc w:val="center"/>
              <w:rPr>
                <w:rFonts w:eastAsia="Times New Roman"/>
                <w:b/>
              </w:rPr>
            </w:pPr>
            <w:r>
              <w:rPr>
                <w:rFonts w:hint="eastAsia"/>
                <w:b/>
              </w:rPr>
              <w:t>备注</w:t>
            </w:r>
          </w:p>
        </w:tc>
      </w:tr>
      <w:tr w14:paraId="172E6A9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Pr>
        <w:tc>
          <w:tcPr>
            <w:tcW w:w="690" w:type="dxa"/>
            <w:vMerge w:val="continue"/>
            <w:tcBorders>
              <w:top w:val="single" w:color="000000" w:sz="6" w:space="0"/>
              <w:left w:val="single" w:color="auto" w:sz="6" w:space="0"/>
              <w:bottom w:val="single" w:color="auto" w:sz="6" w:space="0"/>
              <w:right w:val="nil"/>
            </w:tcBorders>
          </w:tcPr>
          <w:p w14:paraId="0841B0BD">
            <w:pPr>
              <w:spacing w:line="360" w:lineRule="auto"/>
              <w:rPr>
                <w:rFonts w:eastAsia="Times New Roman"/>
              </w:rPr>
            </w:pPr>
          </w:p>
        </w:tc>
        <w:tc>
          <w:tcPr>
            <w:tcW w:w="1738" w:type="dxa"/>
            <w:vMerge w:val="continue"/>
            <w:tcBorders>
              <w:top w:val="single" w:color="000000" w:sz="6" w:space="0"/>
              <w:left w:val="single" w:color="auto" w:sz="6" w:space="0"/>
              <w:bottom w:val="single" w:color="auto" w:sz="6" w:space="0"/>
              <w:right w:val="nil"/>
            </w:tcBorders>
          </w:tcPr>
          <w:p w14:paraId="5B2609FE">
            <w:pPr>
              <w:spacing w:line="360" w:lineRule="auto"/>
              <w:rPr>
                <w:rFonts w:eastAsia="Times New Roman"/>
              </w:rPr>
            </w:pPr>
          </w:p>
        </w:tc>
        <w:tc>
          <w:tcPr>
            <w:tcW w:w="1515" w:type="dxa"/>
            <w:vMerge w:val="continue"/>
            <w:tcBorders>
              <w:top w:val="single" w:color="000000" w:sz="6" w:space="0"/>
              <w:left w:val="single" w:color="auto" w:sz="6" w:space="0"/>
              <w:bottom w:val="single" w:color="auto" w:sz="6" w:space="0"/>
              <w:right w:val="single" w:color="auto" w:sz="6" w:space="0"/>
            </w:tcBorders>
          </w:tcPr>
          <w:p w14:paraId="5D5A2C1D">
            <w:pPr>
              <w:spacing w:line="360" w:lineRule="auto"/>
              <w:rPr>
                <w:rFonts w:eastAsia="Times New Roman"/>
              </w:rPr>
            </w:pPr>
          </w:p>
        </w:tc>
        <w:tc>
          <w:tcPr>
            <w:tcW w:w="1136" w:type="dxa"/>
            <w:tcBorders>
              <w:top w:val="nil"/>
              <w:left w:val="nil"/>
              <w:bottom w:val="single" w:color="000000" w:sz="6" w:space="0"/>
              <w:right w:val="single" w:color="000000" w:sz="6" w:space="0"/>
            </w:tcBorders>
          </w:tcPr>
          <w:p w14:paraId="675B4261">
            <w:pPr>
              <w:spacing w:line="360" w:lineRule="auto"/>
              <w:rPr>
                <w:rFonts w:eastAsia="Times New Roman"/>
                <w:b/>
              </w:rPr>
            </w:pPr>
            <w:r>
              <w:rPr>
                <w:rFonts w:hint="eastAsia"/>
                <w:b/>
              </w:rPr>
              <w:t>职称</w:t>
            </w:r>
          </w:p>
        </w:tc>
        <w:tc>
          <w:tcPr>
            <w:tcW w:w="1137" w:type="dxa"/>
            <w:tcBorders>
              <w:top w:val="nil"/>
              <w:left w:val="single" w:color="000000" w:sz="6" w:space="0"/>
              <w:bottom w:val="single" w:color="000000" w:sz="6" w:space="0"/>
              <w:right w:val="nil"/>
            </w:tcBorders>
          </w:tcPr>
          <w:p w14:paraId="330E6805">
            <w:pPr>
              <w:spacing w:line="360" w:lineRule="auto"/>
              <w:rPr>
                <w:rFonts w:eastAsia="Times New Roman"/>
                <w:b/>
              </w:rPr>
            </w:pPr>
            <w:r>
              <w:rPr>
                <w:rFonts w:hint="eastAsia"/>
                <w:b/>
              </w:rPr>
              <w:t>人数</w:t>
            </w:r>
          </w:p>
        </w:tc>
        <w:tc>
          <w:tcPr>
            <w:tcW w:w="1136" w:type="dxa"/>
            <w:vMerge w:val="continue"/>
            <w:tcBorders>
              <w:top w:val="single" w:color="000000" w:sz="6" w:space="0"/>
              <w:left w:val="single" w:color="auto" w:sz="6" w:space="0"/>
              <w:bottom w:val="single" w:color="auto" w:sz="6" w:space="0"/>
              <w:right w:val="nil"/>
            </w:tcBorders>
          </w:tcPr>
          <w:p w14:paraId="4AB9470E">
            <w:pPr>
              <w:spacing w:line="360" w:lineRule="auto"/>
              <w:rPr>
                <w:rFonts w:eastAsia="Times New Roman"/>
              </w:rPr>
            </w:pPr>
          </w:p>
        </w:tc>
        <w:tc>
          <w:tcPr>
            <w:tcW w:w="1010" w:type="dxa"/>
            <w:vMerge w:val="continue"/>
            <w:tcBorders>
              <w:top w:val="single" w:color="000000" w:sz="6" w:space="0"/>
              <w:left w:val="single" w:color="auto" w:sz="6" w:space="0"/>
              <w:bottom w:val="single" w:color="auto" w:sz="6" w:space="0"/>
              <w:right w:val="single" w:color="auto" w:sz="6" w:space="0"/>
            </w:tcBorders>
          </w:tcPr>
          <w:p w14:paraId="40E7C99D">
            <w:pPr>
              <w:spacing w:line="360" w:lineRule="auto"/>
              <w:rPr>
                <w:rFonts w:eastAsia="Times New Roman"/>
              </w:rPr>
            </w:pPr>
          </w:p>
        </w:tc>
      </w:tr>
      <w:tr w14:paraId="31EA639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690" w:type="dxa"/>
            <w:tcBorders>
              <w:top w:val="nil"/>
              <w:left w:val="single" w:color="000000" w:sz="6" w:space="0"/>
              <w:bottom w:val="single" w:color="000000" w:sz="6" w:space="0"/>
              <w:right w:val="single" w:color="000000" w:sz="6" w:space="0"/>
            </w:tcBorders>
          </w:tcPr>
          <w:p w14:paraId="6ABC2BE6">
            <w:pPr>
              <w:tabs>
                <w:tab w:val="left" w:pos="600"/>
                <w:tab w:val="left" w:pos="840"/>
              </w:tabs>
              <w:spacing w:line="500" w:lineRule="exact"/>
              <w:jc w:val="center"/>
            </w:pPr>
            <w:r>
              <w:rPr>
                <w:rFonts w:hint="eastAsia"/>
              </w:rPr>
              <w:t>1</w:t>
            </w:r>
          </w:p>
        </w:tc>
        <w:tc>
          <w:tcPr>
            <w:tcW w:w="1738" w:type="dxa"/>
            <w:tcBorders>
              <w:top w:val="nil"/>
              <w:left w:val="single" w:color="000000" w:sz="6" w:space="0"/>
              <w:bottom w:val="single" w:color="000000" w:sz="6" w:space="0"/>
              <w:right w:val="single" w:color="000000" w:sz="6" w:space="0"/>
            </w:tcBorders>
          </w:tcPr>
          <w:p w14:paraId="4FECF8DC">
            <w:pPr>
              <w:tabs>
                <w:tab w:val="left" w:pos="600"/>
                <w:tab w:val="left" w:pos="840"/>
              </w:tabs>
              <w:spacing w:line="500" w:lineRule="exact"/>
              <w:jc w:val="center"/>
            </w:pPr>
          </w:p>
        </w:tc>
        <w:tc>
          <w:tcPr>
            <w:tcW w:w="1515" w:type="dxa"/>
            <w:tcBorders>
              <w:top w:val="nil"/>
              <w:left w:val="single" w:color="000000" w:sz="6" w:space="0"/>
              <w:bottom w:val="single" w:color="000000" w:sz="6" w:space="0"/>
              <w:right w:val="single" w:color="000000" w:sz="6" w:space="0"/>
            </w:tcBorders>
          </w:tcPr>
          <w:p w14:paraId="5113F5C0">
            <w:pPr>
              <w:tabs>
                <w:tab w:val="left" w:pos="600"/>
                <w:tab w:val="left" w:pos="840"/>
              </w:tabs>
              <w:spacing w:line="500" w:lineRule="exact"/>
              <w:jc w:val="center"/>
            </w:pPr>
          </w:p>
        </w:tc>
        <w:tc>
          <w:tcPr>
            <w:tcW w:w="1136" w:type="dxa"/>
            <w:tcBorders>
              <w:top w:val="single" w:color="000000" w:sz="6" w:space="0"/>
              <w:left w:val="single" w:color="000000" w:sz="6" w:space="0"/>
              <w:bottom w:val="single" w:color="000000" w:sz="6" w:space="0"/>
              <w:right w:val="single" w:color="000000" w:sz="6" w:space="0"/>
            </w:tcBorders>
          </w:tcPr>
          <w:p w14:paraId="05C79AD3">
            <w:pPr>
              <w:tabs>
                <w:tab w:val="left" w:pos="600"/>
                <w:tab w:val="left" w:pos="840"/>
              </w:tabs>
              <w:spacing w:line="500" w:lineRule="exact"/>
              <w:jc w:val="center"/>
            </w:pPr>
          </w:p>
        </w:tc>
        <w:tc>
          <w:tcPr>
            <w:tcW w:w="1137" w:type="dxa"/>
            <w:tcBorders>
              <w:top w:val="single" w:color="000000" w:sz="6" w:space="0"/>
              <w:left w:val="single" w:color="000000" w:sz="6" w:space="0"/>
              <w:bottom w:val="single" w:color="000000" w:sz="6" w:space="0"/>
              <w:right w:val="single" w:color="000000" w:sz="6" w:space="0"/>
            </w:tcBorders>
          </w:tcPr>
          <w:p w14:paraId="558B3C7C">
            <w:pPr>
              <w:tabs>
                <w:tab w:val="left" w:pos="600"/>
                <w:tab w:val="left" w:pos="840"/>
              </w:tabs>
              <w:spacing w:line="500" w:lineRule="exact"/>
              <w:jc w:val="center"/>
            </w:pPr>
          </w:p>
        </w:tc>
        <w:tc>
          <w:tcPr>
            <w:tcW w:w="1136" w:type="dxa"/>
            <w:tcBorders>
              <w:top w:val="nil"/>
              <w:left w:val="single" w:color="000000" w:sz="6" w:space="0"/>
              <w:bottom w:val="single" w:color="000000" w:sz="6" w:space="0"/>
              <w:right w:val="single" w:color="000000" w:sz="6" w:space="0"/>
            </w:tcBorders>
          </w:tcPr>
          <w:p w14:paraId="599C44DA">
            <w:pPr>
              <w:tabs>
                <w:tab w:val="left" w:pos="600"/>
                <w:tab w:val="left" w:pos="840"/>
              </w:tabs>
              <w:spacing w:line="500" w:lineRule="exact"/>
              <w:jc w:val="center"/>
            </w:pPr>
          </w:p>
        </w:tc>
        <w:tc>
          <w:tcPr>
            <w:tcW w:w="1010" w:type="dxa"/>
            <w:tcBorders>
              <w:top w:val="nil"/>
              <w:left w:val="single" w:color="000000" w:sz="6" w:space="0"/>
              <w:bottom w:val="single" w:color="000000" w:sz="6" w:space="0"/>
              <w:right w:val="single" w:color="000000" w:sz="6" w:space="0"/>
            </w:tcBorders>
          </w:tcPr>
          <w:p w14:paraId="5B0A36EF">
            <w:pPr>
              <w:tabs>
                <w:tab w:val="left" w:pos="600"/>
                <w:tab w:val="left" w:pos="840"/>
              </w:tabs>
              <w:spacing w:line="500" w:lineRule="exact"/>
              <w:jc w:val="center"/>
            </w:pPr>
          </w:p>
        </w:tc>
      </w:tr>
      <w:tr w14:paraId="031228C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690" w:type="dxa"/>
            <w:tcBorders>
              <w:top w:val="nil"/>
              <w:left w:val="single" w:color="000000" w:sz="6" w:space="0"/>
              <w:bottom w:val="single" w:color="000000" w:sz="6" w:space="0"/>
              <w:right w:val="single" w:color="000000" w:sz="6" w:space="0"/>
            </w:tcBorders>
          </w:tcPr>
          <w:p w14:paraId="07FA6501">
            <w:pPr>
              <w:tabs>
                <w:tab w:val="left" w:pos="600"/>
                <w:tab w:val="left" w:pos="840"/>
              </w:tabs>
              <w:spacing w:line="500" w:lineRule="exact"/>
              <w:jc w:val="center"/>
            </w:pPr>
            <w:r>
              <w:rPr>
                <w:rFonts w:hint="eastAsia"/>
              </w:rPr>
              <w:t>2</w:t>
            </w:r>
          </w:p>
        </w:tc>
        <w:tc>
          <w:tcPr>
            <w:tcW w:w="1738" w:type="dxa"/>
            <w:tcBorders>
              <w:top w:val="nil"/>
              <w:left w:val="single" w:color="000000" w:sz="6" w:space="0"/>
              <w:bottom w:val="single" w:color="000000" w:sz="6" w:space="0"/>
              <w:right w:val="single" w:color="000000" w:sz="6" w:space="0"/>
            </w:tcBorders>
          </w:tcPr>
          <w:p w14:paraId="2C019B1A">
            <w:pPr>
              <w:tabs>
                <w:tab w:val="left" w:pos="600"/>
                <w:tab w:val="left" w:pos="840"/>
              </w:tabs>
              <w:spacing w:line="500" w:lineRule="exact"/>
              <w:jc w:val="center"/>
            </w:pPr>
          </w:p>
        </w:tc>
        <w:tc>
          <w:tcPr>
            <w:tcW w:w="1515" w:type="dxa"/>
            <w:tcBorders>
              <w:top w:val="nil"/>
              <w:left w:val="single" w:color="000000" w:sz="6" w:space="0"/>
              <w:bottom w:val="single" w:color="000000" w:sz="6" w:space="0"/>
              <w:right w:val="single" w:color="000000" w:sz="6" w:space="0"/>
            </w:tcBorders>
          </w:tcPr>
          <w:p w14:paraId="54A7EFB6">
            <w:pPr>
              <w:tabs>
                <w:tab w:val="left" w:pos="600"/>
                <w:tab w:val="left" w:pos="840"/>
              </w:tabs>
              <w:spacing w:line="500" w:lineRule="exact"/>
              <w:jc w:val="center"/>
            </w:pPr>
          </w:p>
        </w:tc>
        <w:tc>
          <w:tcPr>
            <w:tcW w:w="1136" w:type="dxa"/>
            <w:tcBorders>
              <w:top w:val="single" w:color="000000" w:sz="6" w:space="0"/>
              <w:left w:val="single" w:color="000000" w:sz="6" w:space="0"/>
              <w:bottom w:val="single" w:color="000000" w:sz="6" w:space="0"/>
              <w:right w:val="single" w:color="000000" w:sz="6" w:space="0"/>
            </w:tcBorders>
          </w:tcPr>
          <w:p w14:paraId="49A40CF5">
            <w:pPr>
              <w:tabs>
                <w:tab w:val="left" w:pos="600"/>
                <w:tab w:val="left" w:pos="840"/>
              </w:tabs>
              <w:spacing w:line="500" w:lineRule="exact"/>
              <w:jc w:val="center"/>
            </w:pPr>
          </w:p>
        </w:tc>
        <w:tc>
          <w:tcPr>
            <w:tcW w:w="1137" w:type="dxa"/>
            <w:tcBorders>
              <w:top w:val="single" w:color="000000" w:sz="6" w:space="0"/>
              <w:left w:val="single" w:color="000000" w:sz="6" w:space="0"/>
              <w:bottom w:val="single" w:color="000000" w:sz="6" w:space="0"/>
              <w:right w:val="single" w:color="000000" w:sz="6" w:space="0"/>
            </w:tcBorders>
          </w:tcPr>
          <w:p w14:paraId="3591E5CD">
            <w:pPr>
              <w:tabs>
                <w:tab w:val="left" w:pos="600"/>
                <w:tab w:val="left" w:pos="840"/>
              </w:tabs>
              <w:spacing w:line="500" w:lineRule="exact"/>
              <w:jc w:val="center"/>
            </w:pPr>
          </w:p>
        </w:tc>
        <w:tc>
          <w:tcPr>
            <w:tcW w:w="1136" w:type="dxa"/>
            <w:tcBorders>
              <w:top w:val="nil"/>
              <w:left w:val="single" w:color="000000" w:sz="6" w:space="0"/>
              <w:bottom w:val="single" w:color="000000" w:sz="6" w:space="0"/>
              <w:right w:val="single" w:color="000000" w:sz="6" w:space="0"/>
            </w:tcBorders>
          </w:tcPr>
          <w:p w14:paraId="3929B84C">
            <w:pPr>
              <w:tabs>
                <w:tab w:val="left" w:pos="600"/>
                <w:tab w:val="left" w:pos="840"/>
              </w:tabs>
              <w:spacing w:line="500" w:lineRule="exact"/>
              <w:jc w:val="center"/>
            </w:pPr>
          </w:p>
        </w:tc>
        <w:tc>
          <w:tcPr>
            <w:tcW w:w="1010" w:type="dxa"/>
            <w:tcBorders>
              <w:top w:val="nil"/>
              <w:left w:val="single" w:color="000000" w:sz="6" w:space="0"/>
              <w:bottom w:val="single" w:color="000000" w:sz="6" w:space="0"/>
              <w:right w:val="single" w:color="000000" w:sz="6" w:space="0"/>
            </w:tcBorders>
          </w:tcPr>
          <w:p w14:paraId="109018C0">
            <w:pPr>
              <w:tabs>
                <w:tab w:val="left" w:pos="600"/>
                <w:tab w:val="left" w:pos="840"/>
              </w:tabs>
              <w:spacing w:line="500" w:lineRule="exact"/>
              <w:jc w:val="center"/>
            </w:pPr>
          </w:p>
        </w:tc>
      </w:tr>
    </w:tbl>
    <w:p w14:paraId="6AB27E5B">
      <w:pPr>
        <w:pStyle w:val="15"/>
        <w:tabs>
          <w:tab w:val="left" w:pos="9000"/>
          <w:tab w:val="right" w:pos="9360"/>
        </w:tabs>
      </w:pPr>
    </w:p>
    <w:p w14:paraId="5CA647C5">
      <w:pPr>
        <w:widowControl/>
        <w:snapToGrid w:val="0"/>
        <w:spacing w:before="120" w:beforeLines="50" w:after="120" w:afterLines="50" w:line="360" w:lineRule="auto"/>
        <w:rPr>
          <w:rFonts w:hint="eastAsia" w:ascii="宋体" w:hAnsi="宋体" w:cs="宋体"/>
        </w:rPr>
        <w:sectPr>
          <w:endnotePr>
            <w:numFmt w:val="decimal"/>
          </w:endnotePr>
          <w:pgSz w:w="11907" w:h="16840"/>
          <w:pgMar w:top="1418" w:right="1531" w:bottom="1418" w:left="1701" w:header="851" w:footer="1021" w:gutter="0"/>
          <w:cols w:space="720" w:num="1"/>
          <w:docGrid w:linePitch="326" w:charSpace="0"/>
        </w:sectPr>
      </w:pPr>
    </w:p>
    <w:p w14:paraId="721C31D2">
      <w:pPr>
        <w:pStyle w:val="2"/>
        <w:spacing w:before="156" w:beforeLines="50" w:after="156" w:afterLines="50" w:line="360" w:lineRule="auto"/>
        <w:jc w:val="left"/>
        <w:rPr>
          <w:rStyle w:val="48"/>
          <w:rFonts w:ascii="Times New Roman" w:hAnsi="Times New Roman"/>
          <w:b w:val="0"/>
          <w:color w:val="auto"/>
          <w:kern w:val="0"/>
          <w:sz w:val="30"/>
          <w:szCs w:val="30"/>
          <w:u w:val="none"/>
        </w:rPr>
      </w:pPr>
      <w:bookmarkStart w:id="71" w:name="_Toc29849"/>
      <w:r>
        <w:rPr>
          <w:rStyle w:val="48"/>
          <w:color w:val="auto"/>
          <w:sz w:val="30"/>
          <w:szCs w:val="30"/>
          <w:u w:val="none"/>
        </w:rPr>
        <w:t>附件7  分包与外购</w:t>
      </w:r>
      <w:bookmarkEnd w:id="71"/>
    </w:p>
    <w:p w14:paraId="3EB03CA6">
      <w:pPr>
        <w:spacing w:line="360" w:lineRule="auto"/>
        <w:ind w:firstLine="480" w:firstLineChars="200"/>
      </w:pPr>
      <w:r>
        <w:rPr>
          <w:rFonts w:hint="eastAsia"/>
        </w:rPr>
        <w:t>投标人</w:t>
      </w:r>
      <w:r>
        <w:t>要按下列表格填写分包及外购情况表，并报各分包及外购厂家的简要资质情况。</w:t>
      </w:r>
    </w:p>
    <w:p w14:paraId="0A1393C9">
      <w:pPr>
        <w:spacing w:line="360" w:lineRule="auto"/>
        <w:ind w:firstLine="482" w:firstLineChars="200"/>
        <w:jc w:val="center"/>
        <w:rPr>
          <w:b/>
        </w:rPr>
      </w:pPr>
      <w:r>
        <w:rPr>
          <w:b/>
        </w:rPr>
        <w:t>分包及外购情况表</w:t>
      </w:r>
    </w:p>
    <w:tbl>
      <w:tblPr>
        <w:tblStyle w:val="42"/>
        <w:tblW w:w="75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
      <w:tblGrid>
        <w:gridCol w:w="735"/>
        <w:gridCol w:w="1260"/>
        <w:gridCol w:w="840"/>
        <w:gridCol w:w="840"/>
        <w:gridCol w:w="830"/>
        <w:gridCol w:w="900"/>
        <w:gridCol w:w="1210"/>
        <w:gridCol w:w="945"/>
      </w:tblGrid>
      <w:tr w14:paraId="52880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jc w:val="center"/>
        </w:trPr>
        <w:tc>
          <w:tcPr>
            <w:tcW w:w="735" w:type="dxa"/>
            <w:vAlign w:val="center"/>
          </w:tcPr>
          <w:p w14:paraId="2C193394">
            <w:pPr>
              <w:spacing w:line="360" w:lineRule="auto"/>
              <w:jc w:val="center"/>
              <w:rPr>
                <w:b/>
              </w:rPr>
            </w:pPr>
            <w:r>
              <w:rPr>
                <w:b/>
              </w:rPr>
              <w:t>序号</w:t>
            </w:r>
          </w:p>
        </w:tc>
        <w:tc>
          <w:tcPr>
            <w:tcW w:w="1260" w:type="dxa"/>
            <w:vAlign w:val="center"/>
          </w:tcPr>
          <w:p w14:paraId="5DDC7906">
            <w:pPr>
              <w:spacing w:line="360" w:lineRule="auto"/>
              <w:jc w:val="center"/>
              <w:rPr>
                <w:b/>
              </w:rPr>
            </w:pPr>
            <w:r>
              <w:rPr>
                <w:b/>
              </w:rPr>
              <w:t>设备/部件</w:t>
            </w:r>
          </w:p>
        </w:tc>
        <w:tc>
          <w:tcPr>
            <w:tcW w:w="840" w:type="dxa"/>
            <w:vAlign w:val="center"/>
          </w:tcPr>
          <w:p w14:paraId="6E1BC739">
            <w:pPr>
              <w:spacing w:line="360" w:lineRule="auto"/>
              <w:jc w:val="center"/>
              <w:rPr>
                <w:b/>
              </w:rPr>
            </w:pPr>
            <w:r>
              <w:rPr>
                <w:b/>
              </w:rPr>
              <w:t>型号</w:t>
            </w:r>
          </w:p>
        </w:tc>
        <w:tc>
          <w:tcPr>
            <w:tcW w:w="840" w:type="dxa"/>
            <w:vAlign w:val="center"/>
          </w:tcPr>
          <w:p w14:paraId="3AB6D310">
            <w:pPr>
              <w:spacing w:line="360" w:lineRule="auto"/>
              <w:jc w:val="center"/>
              <w:rPr>
                <w:b/>
              </w:rPr>
            </w:pPr>
            <w:r>
              <w:rPr>
                <w:b/>
              </w:rPr>
              <w:t>单位</w:t>
            </w:r>
          </w:p>
        </w:tc>
        <w:tc>
          <w:tcPr>
            <w:tcW w:w="830" w:type="dxa"/>
            <w:vAlign w:val="center"/>
          </w:tcPr>
          <w:p w14:paraId="12CBE24F">
            <w:pPr>
              <w:spacing w:line="360" w:lineRule="auto"/>
              <w:jc w:val="center"/>
              <w:rPr>
                <w:b/>
              </w:rPr>
            </w:pPr>
            <w:r>
              <w:rPr>
                <w:b/>
              </w:rPr>
              <w:t>数量</w:t>
            </w:r>
          </w:p>
        </w:tc>
        <w:tc>
          <w:tcPr>
            <w:tcW w:w="900" w:type="dxa"/>
            <w:vAlign w:val="center"/>
          </w:tcPr>
          <w:p w14:paraId="32B5ADD8">
            <w:pPr>
              <w:spacing w:line="360" w:lineRule="auto"/>
              <w:jc w:val="center"/>
              <w:rPr>
                <w:b/>
              </w:rPr>
            </w:pPr>
            <w:r>
              <w:rPr>
                <w:b/>
              </w:rPr>
              <w:t>产地</w:t>
            </w:r>
          </w:p>
        </w:tc>
        <w:tc>
          <w:tcPr>
            <w:tcW w:w="1210" w:type="dxa"/>
            <w:vAlign w:val="center"/>
          </w:tcPr>
          <w:p w14:paraId="7EDAF355">
            <w:pPr>
              <w:spacing w:line="360" w:lineRule="auto"/>
              <w:jc w:val="center"/>
              <w:rPr>
                <w:b/>
              </w:rPr>
            </w:pPr>
            <w:r>
              <w:rPr>
                <w:b/>
              </w:rPr>
              <w:t>厂家名称</w:t>
            </w:r>
          </w:p>
        </w:tc>
        <w:tc>
          <w:tcPr>
            <w:tcW w:w="945" w:type="dxa"/>
            <w:vAlign w:val="center"/>
          </w:tcPr>
          <w:p w14:paraId="30B6091A">
            <w:pPr>
              <w:spacing w:line="360" w:lineRule="auto"/>
              <w:jc w:val="center"/>
              <w:rPr>
                <w:b/>
              </w:rPr>
            </w:pPr>
            <w:r>
              <w:rPr>
                <w:b/>
              </w:rPr>
              <w:t>备注</w:t>
            </w:r>
          </w:p>
        </w:tc>
      </w:tr>
      <w:tr w14:paraId="05113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cantSplit/>
          <w:trHeight w:val="1209" w:hRule="atLeast"/>
          <w:jc w:val="center"/>
        </w:trPr>
        <w:tc>
          <w:tcPr>
            <w:tcW w:w="735" w:type="dxa"/>
          </w:tcPr>
          <w:p w14:paraId="46DFB8C7">
            <w:pPr>
              <w:spacing w:line="360" w:lineRule="auto"/>
            </w:pPr>
          </w:p>
        </w:tc>
        <w:tc>
          <w:tcPr>
            <w:tcW w:w="1260" w:type="dxa"/>
          </w:tcPr>
          <w:p w14:paraId="0FC08961">
            <w:pPr>
              <w:pStyle w:val="29"/>
              <w:spacing w:before="0" w:line="360" w:lineRule="auto"/>
            </w:pPr>
          </w:p>
        </w:tc>
        <w:tc>
          <w:tcPr>
            <w:tcW w:w="840" w:type="dxa"/>
          </w:tcPr>
          <w:p w14:paraId="686314F8">
            <w:pPr>
              <w:spacing w:line="360" w:lineRule="auto"/>
            </w:pPr>
          </w:p>
        </w:tc>
        <w:tc>
          <w:tcPr>
            <w:tcW w:w="840" w:type="dxa"/>
          </w:tcPr>
          <w:p w14:paraId="3C2859EB">
            <w:pPr>
              <w:spacing w:line="360" w:lineRule="auto"/>
            </w:pPr>
          </w:p>
        </w:tc>
        <w:tc>
          <w:tcPr>
            <w:tcW w:w="830" w:type="dxa"/>
          </w:tcPr>
          <w:p w14:paraId="730E4E74">
            <w:pPr>
              <w:spacing w:line="360" w:lineRule="auto"/>
            </w:pPr>
          </w:p>
        </w:tc>
        <w:tc>
          <w:tcPr>
            <w:tcW w:w="900" w:type="dxa"/>
          </w:tcPr>
          <w:p w14:paraId="06E4C04A">
            <w:pPr>
              <w:spacing w:line="360" w:lineRule="auto"/>
            </w:pPr>
          </w:p>
        </w:tc>
        <w:tc>
          <w:tcPr>
            <w:tcW w:w="1210" w:type="dxa"/>
          </w:tcPr>
          <w:p w14:paraId="10B18C03">
            <w:pPr>
              <w:spacing w:line="360" w:lineRule="auto"/>
            </w:pPr>
          </w:p>
        </w:tc>
        <w:tc>
          <w:tcPr>
            <w:tcW w:w="945" w:type="dxa"/>
          </w:tcPr>
          <w:p w14:paraId="0654FA41">
            <w:pPr>
              <w:spacing w:line="360" w:lineRule="auto"/>
            </w:pPr>
          </w:p>
        </w:tc>
      </w:tr>
    </w:tbl>
    <w:p w14:paraId="001FB3DD">
      <w:pPr>
        <w:spacing w:line="460" w:lineRule="exact"/>
        <w:ind w:firstLine="420" w:firstLineChars="175"/>
      </w:pPr>
      <w:r>
        <w:t>注：上表中的序号和内容应与附件2的一致。</w:t>
      </w:r>
    </w:p>
    <w:p w14:paraId="5B43C9EC">
      <w:pPr>
        <w:spacing w:line="460" w:lineRule="exact"/>
        <w:ind w:firstLine="420" w:firstLineChars="175"/>
      </w:pPr>
      <w:r>
        <w:t>2、</w:t>
      </w:r>
      <w:r>
        <w:rPr>
          <w:rFonts w:hint="eastAsia"/>
        </w:rPr>
        <w:t>投标人</w:t>
      </w:r>
      <w:r>
        <w:t>要按下列表格填写制造设备所需的进口部件一览表。</w:t>
      </w:r>
    </w:p>
    <w:p w14:paraId="52A65C1E">
      <w:pPr>
        <w:spacing w:line="460" w:lineRule="exact"/>
        <w:ind w:firstLine="420" w:firstLineChars="175"/>
      </w:pPr>
    </w:p>
    <w:p w14:paraId="5328DD03">
      <w:pPr>
        <w:spacing w:line="360" w:lineRule="auto"/>
        <w:ind w:firstLine="482" w:firstLineChars="200"/>
        <w:jc w:val="center"/>
        <w:rPr>
          <w:b/>
        </w:rPr>
      </w:pPr>
      <w:r>
        <w:rPr>
          <w:b/>
        </w:rPr>
        <w:t>进口部件一览表</w:t>
      </w:r>
    </w:p>
    <w:tbl>
      <w:tblPr>
        <w:tblStyle w:val="42"/>
        <w:tblW w:w="90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6"/>
        <w:gridCol w:w="970"/>
        <w:gridCol w:w="1155"/>
        <w:gridCol w:w="945"/>
        <w:gridCol w:w="876"/>
        <w:gridCol w:w="799"/>
        <w:gridCol w:w="1116"/>
        <w:gridCol w:w="1377"/>
        <w:gridCol w:w="1050"/>
      </w:tblGrid>
      <w:tr w14:paraId="7A5D4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39" w:hRule="atLeast"/>
          <w:tblHeader/>
          <w:jc w:val="center"/>
        </w:trPr>
        <w:tc>
          <w:tcPr>
            <w:tcW w:w="766" w:type="dxa"/>
            <w:vAlign w:val="center"/>
          </w:tcPr>
          <w:p w14:paraId="61B3AE6E">
            <w:pPr>
              <w:spacing w:line="360" w:lineRule="auto"/>
              <w:jc w:val="center"/>
              <w:rPr>
                <w:b/>
              </w:rPr>
            </w:pPr>
            <w:r>
              <w:rPr>
                <w:b/>
              </w:rPr>
              <w:t>序号</w:t>
            </w:r>
          </w:p>
        </w:tc>
        <w:tc>
          <w:tcPr>
            <w:tcW w:w="970" w:type="dxa"/>
            <w:vAlign w:val="center"/>
          </w:tcPr>
          <w:p w14:paraId="453792D8">
            <w:pPr>
              <w:spacing w:line="360" w:lineRule="auto"/>
              <w:jc w:val="center"/>
              <w:rPr>
                <w:b/>
              </w:rPr>
            </w:pPr>
            <w:r>
              <w:rPr>
                <w:b/>
              </w:rPr>
              <w:t>名称</w:t>
            </w:r>
          </w:p>
        </w:tc>
        <w:tc>
          <w:tcPr>
            <w:tcW w:w="1155" w:type="dxa"/>
            <w:vAlign w:val="center"/>
          </w:tcPr>
          <w:p w14:paraId="00093CFE">
            <w:pPr>
              <w:spacing w:line="360" w:lineRule="auto"/>
              <w:jc w:val="center"/>
              <w:rPr>
                <w:b/>
              </w:rPr>
            </w:pPr>
            <w:r>
              <w:rPr>
                <w:b/>
              </w:rPr>
              <w:t>规格</w:t>
            </w:r>
          </w:p>
        </w:tc>
        <w:tc>
          <w:tcPr>
            <w:tcW w:w="945" w:type="dxa"/>
            <w:vAlign w:val="center"/>
          </w:tcPr>
          <w:p w14:paraId="7D758B8D">
            <w:pPr>
              <w:spacing w:line="360" w:lineRule="auto"/>
              <w:jc w:val="center"/>
              <w:rPr>
                <w:b/>
              </w:rPr>
            </w:pPr>
            <w:r>
              <w:rPr>
                <w:b/>
              </w:rPr>
              <w:t>单位</w:t>
            </w:r>
          </w:p>
        </w:tc>
        <w:tc>
          <w:tcPr>
            <w:tcW w:w="876" w:type="dxa"/>
            <w:vAlign w:val="center"/>
          </w:tcPr>
          <w:p w14:paraId="217791AB">
            <w:pPr>
              <w:pStyle w:val="66"/>
              <w:spacing w:line="360" w:lineRule="auto"/>
              <w:rPr>
                <w:b/>
                <w:kern w:val="2"/>
              </w:rPr>
            </w:pPr>
            <w:r>
              <w:rPr>
                <w:b/>
                <w:kern w:val="2"/>
              </w:rPr>
              <w:t>数量</w:t>
            </w:r>
          </w:p>
        </w:tc>
        <w:tc>
          <w:tcPr>
            <w:tcW w:w="799" w:type="dxa"/>
            <w:vAlign w:val="center"/>
          </w:tcPr>
          <w:p w14:paraId="031C0E8A">
            <w:pPr>
              <w:spacing w:line="360" w:lineRule="auto"/>
              <w:jc w:val="center"/>
              <w:rPr>
                <w:b/>
              </w:rPr>
            </w:pPr>
            <w:r>
              <w:rPr>
                <w:b/>
              </w:rPr>
              <w:t>重量</w:t>
            </w:r>
          </w:p>
        </w:tc>
        <w:tc>
          <w:tcPr>
            <w:tcW w:w="1116" w:type="dxa"/>
            <w:vAlign w:val="center"/>
          </w:tcPr>
          <w:p w14:paraId="66666732">
            <w:pPr>
              <w:spacing w:line="360" w:lineRule="auto"/>
              <w:jc w:val="center"/>
              <w:rPr>
                <w:b/>
              </w:rPr>
            </w:pPr>
            <w:r>
              <w:rPr>
                <w:b/>
              </w:rPr>
              <w:t>原产地</w:t>
            </w:r>
          </w:p>
        </w:tc>
        <w:tc>
          <w:tcPr>
            <w:tcW w:w="1377" w:type="dxa"/>
            <w:vAlign w:val="center"/>
          </w:tcPr>
          <w:p w14:paraId="0191E9AC">
            <w:pPr>
              <w:spacing w:line="360" w:lineRule="auto"/>
              <w:jc w:val="center"/>
              <w:rPr>
                <w:b/>
              </w:rPr>
            </w:pPr>
            <w:r>
              <w:rPr>
                <w:b/>
              </w:rPr>
              <w:t>制造厂商</w:t>
            </w:r>
          </w:p>
        </w:tc>
        <w:tc>
          <w:tcPr>
            <w:tcW w:w="1050" w:type="dxa"/>
            <w:vAlign w:val="center"/>
          </w:tcPr>
          <w:p w14:paraId="55BE234E">
            <w:pPr>
              <w:spacing w:line="360" w:lineRule="auto"/>
              <w:jc w:val="center"/>
              <w:rPr>
                <w:b/>
              </w:rPr>
            </w:pPr>
            <w:r>
              <w:rPr>
                <w:b/>
              </w:rPr>
              <w:t>备注</w:t>
            </w:r>
          </w:p>
        </w:tc>
      </w:tr>
      <w:tr w14:paraId="6A549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jc w:val="center"/>
        </w:trPr>
        <w:tc>
          <w:tcPr>
            <w:tcW w:w="766" w:type="dxa"/>
            <w:vAlign w:val="center"/>
          </w:tcPr>
          <w:p w14:paraId="68748325">
            <w:pPr>
              <w:spacing w:line="360" w:lineRule="auto"/>
              <w:jc w:val="center"/>
            </w:pPr>
          </w:p>
        </w:tc>
        <w:tc>
          <w:tcPr>
            <w:tcW w:w="970" w:type="dxa"/>
            <w:vAlign w:val="center"/>
          </w:tcPr>
          <w:p w14:paraId="58D7FE61">
            <w:pPr>
              <w:spacing w:line="360" w:lineRule="auto"/>
            </w:pPr>
          </w:p>
        </w:tc>
        <w:tc>
          <w:tcPr>
            <w:tcW w:w="1155" w:type="dxa"/>
            <w:vAlign w:val="center"/>
          </w:tcPr>
          <w:p w14:paraId="7146A434">
            <w:pPr>
              <w:spacing w:line="360" w:lineRule="auto"/>
            </w:pPr>
          </w:p>
        </w:tc>
        <w:tc>
          <w:tcPr>
            <w:tcW w:w="945" w:type="dxa"/>
            <w:vAlign w:val="center"/>
          </w:tcPr>
          <w:p w14:paraId="3E165E58">
            <w:pPr>
              <w:spacing w:line="360" w:lineRule="auto"/>
              <w:jc w:val="center"/>
            </w:pPr>
          </w:p>
        </w:tc>
        <w:tc>
          <w:tcPr>
            <w:tcW w:w="876" w:type="dxa"/>
            <w:vAlign w:val="center"/>
          </w:tcPr>
          <w:p w14:paraId="7B2E2EC1">
            <w:pPr>
              <w:spacing w:line="360" w:lineRule="auto"/>
              <w:jc w:val="center"/>
            </w:pPr>
          </w:p>
        </w:tc>
        <w:tc>
          <w:tcPr>
            <w:tcW w:w="799" w:type="dxa"/>
            <w:vAlign w:val="center"/>
          </w:tcPr>
          <w:p w14:paraId="35C4ABAF">
            <w:pPr>
              <w:spacing w:line="360" w:lineRule="auto"/>
              <w:jc w:val="center"/>
            </w:pPr>
          </w:p>
        </w:tc>
        <w:tc>
          <w:tcPr>
            <w:tcW w:w="1116" w:type="dxa"/>
            <w:vAlign w:val="center"/>
          </w:tcPr>
          <w:p w14:paraId="54FB1EEE">
            <w:pPr>
              <w:spacing w:line="360" w:lineRule="auto"/>
              <w:jc w:val="center"/>
            </w:pPr>
          </w:p>
        </w:tc>
        <w:tc>
          <w:tcPr>
            <w:tcW w:w="1377" w:type="dxa"/>
            <w:vAlign w:val="center"/>
          </w:tcPr>
          <w:p w14:paraId="40DE7FCE">
            <w:pPr>
              <w:spacing w:line="360" w:lineRule="auto"/>
              <w:jc w:val="center"/>
            </w:pPr>
          </w:p>
        </w:tc>
        <w:tc>
          <w:tcPr>
            <w:tcW w:w="1050" w:type="dxa"/>
            <w:vAlign w:val="center"/>
          </w:tcPr>
          <w:p w14:paraId="32D9D887">
            <w:pPr>
              <w:spacing w:line="360" w:lineRule="auto"/>
              <w:jc w:val="center"/>
            </w:pPr>
          </w:p>
        </w:tc>
      </w:tr>
      <w:tr w14:paraId="4B59C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jc w:val="center"/>
        </w:trPr>
        <w:tc>
          <w:tcPr>
            <w:tcW w:w="766" w:type="dxa"/>
            <w:vAlign w:val="center"/>
          </w:tcPr>
          <w:p w14:paraId="4996614C">
            <w:pPr>
              <w:spacing w:line="360" w:lineRule="auto"/>
              <w:jc w:val="center"/>
            </w:pPr>
          </w:p>
        </w:tc>
        <w:tc>
          <w:tcPr>
            <w:tcW w:w="970" w:type="dxa"/>
            <w:vAlign w:val="center"/>
          </w:tcPr>
          <w:p w14:paraId="291F8577">
            <w:pPr>
              <w:spacing w:line="360" w:lineRule="auto"/>
            </w:pPr>
          </w:p>
        </w:tc>
        <w:tc>
          <w:tcPr>
            <w:tcW w:w="1155" w:type="dxa"/>
            <w:vAlign w:val="center"/>
          </w:tcPr>
          <w:p w14:paraId="394FEC70">
            <w:pPr>
              <w:spacing w:line="360" w:lineRule="auto"/>
            </w:pPr>
          </w:p>
        </w:tc>
        <w:tc>
          <w:tcPr>
            <w:tcW w:w="945" w:type="dxa"/>
            <w:vAlign w:val="center"/>
          </w:tcPr>
          <w:p w14:paraId="4A2E6618">
            <w:pPr>
              <w:spacing w:line="360" w:lineRule="auto"/>
              <w:jc w:val="center"/>
            </w:pPr>
          </w:p>
        </w:tc>
        <w:tc>
          <w:tcPr>
            <w:tcW w:w="876" w:type="dxa"/>
            <w:vAlign w:val="center"/>
          </w:tcPr>
          <w:p w14:paraId="710F85A6">
            <w:pPr>
              <w:spacing w:line="360" w:lineRule="auto"/>
              <w:jc w:val="center"/>
            </w:pPr>
          </w:p>
        </w:tc>
        <w:tc>
          <w:tcPr>
            <w:tcW w:w="799" w:type="dxa"/>
            <w:vAlign w:val="center"/>
          </w:tcPr>
          <w:p w14:paraId="7B8736D3">
            <w:pPr>
              <w:spacing w:line="360" w:lineRule="auto"/>
              <w:jc w:val="center"/>
            </w:pPr>
          </w:p>
        </w:tc>
        <w:tc>
          <w:tcPr>
            <w:tcW w:w="1116" w:type="dxa"/>
            <w:vAlign w:val="center"/>
          </w:tcPr>
          <w:p w14:paraId="0D4F30DF">
            <w:pPr>
              <w:spacing w:line="360" w:lineRule="auto"/>
              <w:jc w:val="center"/>
            </w:pPr>
          </w:p>
        </w:tc>
        <w:tc>
          <w:tcPr>
            <w:tcW w:w="1377" w:type="dxa"/>
            <w:vAlign w:val="center"/>
          </w:tcPr>
          <w:p w14:paraId="32128400">
            <w:pPr>
              <w:spacing w:line="360" w:lineRule="auto"/>
              <w:jc w:val="center"/>
            </w:pPr>
          </w:p>
        </w:tc>
        <w:tc>
          <w:tcPr>
            <w:tcW w:w="1050" w:type="dxa"/>
            <w:vAlign w:val="center"/>
          </w:tcPr>
          <w:p w14:paraId="0B5EB531">
            <w:pPr>
              <w:spacing w:line="360" w:lineRule="auto"/>
              <w:jc w:val="center"/>
            </w:pPr>
          </w:p>
        </w:tc>
      </w:tr>
      <w:tr w14:paraId="0DE32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atLeast"/>
          <w:jc w:val="center"/>
        </w:trPr>
        <w:tc>
          <w:tcPr>
            <w:tcW w:w="766" w:type="dxa"/>
            <w:vAlign w:val="center"/>
          </w:tcPr>
          <w:p w14:paraId="4F26CFA7">
            <w:pPr>
              <w:spacing w:line="360" w:lineRule="auto"/>
              <w:jc w:val="center"/>
            </w:pPr>
          </w:p>
        </w:tc>
        <w:tc>
          <w:tcPr>
            <w:tcW w:w="970" w:type="dxa"/>
            <w:vAlign w:val="center"/>
          </w:tcPr>
          <w:p w14:paraId="1EF92617">
            <w:pPr>
              <w:spacing w:line="360" w:lineRule="auto"/>
              <w:jc w:val="center"/>
            </w:pPr>
          </w:p>
        </w:tc>
        <w:tc>
          <w:tcPr>
            <w:tcW w:w="1155" w:type="dxa"/>
            <w:vAlign w:val="center"/>
          </w:tcPr>
          <w:p w14:paraId="573713D3">
            <w:pPr>
              <w:spacing w:line="360" w:lineRule="auto"/>
              <w:jc w:val="center"/>
            </w:pPr>
          </w:p>
        </w:tc>
        <w:tc>
          <w:tcPr>
            <w:tcW w:w="945" w:type="dxa"/>
            <w:vAlign w:val="center"/>
          </w:tcPr>
          <w:p w14:paraId="77006CD3">
            <w:pPr>
              <w:spacing w:line="360" w:lineRule="auto"/>
              <w:jc w:val="center"/>
            </w:pPr>
          </w:p>
        </w:tc>
        <w:tc>
          <w:tcPr>
            <w:tcW w:w="876" w:type="dxa"/>
            <w:vAlign w:val="center"/>
          </w:tcPr>
          <w:p w14:paraId="665BDF6C">
            <w:pPr>
              <w:spacing w:line="360" w:lineRule="auto"/>
              <w:jc w:val="center"/>
            </w:pPr>
          </w:p>
        </w:tc>
        <w:tc>
          <w:tcPr>
            <w:tcW w:w="799" w:type="dxa"/>
            <w:vAlign w:val="center"/>
          </w:tcPr>
          <w:p w14:paraId="6D972D57">
            <w:pPr>
              <w:spacing w:line="360" w:lineRule="auto"/>
              <w:jc w:val="center"/>
            </w:pPr>
          </w:p>
        </w:tc>
        <w:tc>
          <w:tcPr>
            <w:tcW w:w="1116" w:type="dxa"/>
            <w:vAlign w:val="center"/>
          </w:tcPr>
          <w:p w14:paraId="5BB34D27">
            <w:pPr>
              <w:spacing w:line="360" w:lineRule="auto"/>
              <w:jc w:val="center"/>
            </w:pPr>
          </w:p>
        </w:tc>
        <w:tc>
          <w:tcPr>
            <w:tcW w:w="1377" w:type="dxa"/>
            <w:vAlign w:val="center"/>
          </w:tcPr>
          <w:p w14:paraId="08A3B666">
            <w:pPr>
              <w:spacing w:line="360" w:lineRule="auto"/>
              <w:jc w:val="center"/>
            </w:pPr>
          </w:p>
        </w:tc>
        <w:tc>
          <w:tcPr>
            <w:tcW w:w="1050" w:type="dxa"/>
            <w:vAlign w:val="center"/>
          </w:tcPr>
          <w:p w14:paraId="0B9929BF">
            <w:pPr>
              <w:spacing w:line="360" w:lineRule="auto"/>
              <w:jc w:val="center"/>
            </w:pPr>
          </w:p>
        </w:tc>
      </w:tr>
    </w:tbl>
    <w:p w14:paraId="5EEEC175">
      <w:pPr>
        <w:rPr>
          <w:rFonts w:ascii="Arial" w:hAnsi="Arial" w:cs="Arial"/>
          <w:sz w:val="28"/>
        </w:rPr>
      </w:pPr>
    </w:p>
    <w:p w14:paraId="0880996C"/>
    <w:p w14:paraId="488A77A3">
      <w:pPr>
        <w:widowControl/>
        <w:autoSpaceDE w:val="0"/>
        <w:autoSpaceDN w:val="0"/>
        <w:snapToGrid w:val="0"/>
        <w:spacing w:line="360" w:lineRule="auto"/>
        <w:textAlignment w:val="bottom"/>
        <w:rPr>
          <w:rFonts w:ascii="Arial" w:hAnsi="Arial" w:cs="Arial"/>
        </w:rPr>
      </w:pPr>
    </w:p>
    <w:p w14:paraId="031C72EC">
      <w:pPr>
        <w:widowControl/>
        <w:autoSpaceDE w:val="0"/>
        <w:autoSpaceDN w:val="0"/>
        <w:snapToGrid w:val="0"/>
        <w:spacing w:line="360" w:lineRule="auto"/>
        <w:textAlignment w:val="bottom"/>
        <w:rPr>
          <w:rFonts w:ascii="Arial" w:hAnsi="Arial" w:cs="Arial"/>
        </w:rPr>
      </w:pPr>
    </w:p>
    <w:p w14:paraId="75717EE1">
      <w:pPr>
        <w:widowControl/>
        <w:autoSpaceDE w:val="0"/>
        <w:autoSpaceDN w:val="0"/>
        <w:snapToGrid w:val="0"/>
        <w:spacing w:line="360" w:lineRule="auto"/>
        <w:textAlignment w:val="bottom"/>
        <w:rPr>
          <w:rFonts w:ascii="Arial" w:hAnsi="Arial" w:cs="Arial"/>
        </w:rPr>
      </w:pPr>
    </w:p>
    <w:p w14:paraId="1E1D71F5">
      <w:pPr>
        <w:widowControl/>
        <w:autoSpaceDE w:val="0"/>
        <w:autoSpaceDN w:val="0"/>
        <w:snapToGrid w:val="0"/>
        <w:spacing w:line="360" w:lineRule="auto"/>
        <w:textAlignment w:val="bottom"/>
        <w:rPr>
          <w:rFonts w:ascii="Arial" w:hAnsi="Arial" w:cs="Arial"/>
        </w:rPr>
      </w:pPr>
    </w:p>
    <w:p w14:paraId="6AA983EA">
      <w:pPr>
        <w:widowControl/>
        <w:autoSpaceDE w:val="0"/>
        <w:autoSpaceDN w:val="0"/>
        <w:snapToGrid w:val="0"/>
        <w:spacing w:line="360" w:lineRule="auto"/>
        <w:textAlignment w:val="bottom"/>
        <w:rPr>
          <w:rFonts w:ascii="Arial" w:hAnsi="Arial" w:cs="Arial"/>
        </w:rPr>
      </w:pPr>
    </w:p>
    <w:p w14:paraId="0436A5E4">
      <w:pPr>
        <w:widowControl/>
        <w:autoSpaceDE w:val="0"/>
        <w:autoSpaceDN w:val="0"/>
        <w:snapToGrid w:val="0"/>
        <w:spacing w:line="360" w:lineRule="auto"/>
        <w:textAlignment w:val="bottom"/>
        <w:rPr>
          <w:rFonts w:ascii="Arial" w:hAnsi="Arial" w:cs="Arial"/>
        </w:rPr>
      </w:pPr>
    </w:p>
    <w:p w14:paraId="3F86D54C">
      <w:pPr>
        <w:widowControl/>
        <w:autoSpaceDE w:val="0"/>
        <w:autoSpaceDN w:val="0"/>
        <w:snapToGrid w:val="0"/>
        <w:spacing w:line="360" w:lineRule="auto"/>
        <w:textAlignment w:val="bottom"/>
        <w:rPr>
          <w:rFonts w:ascii="Arial" w:hAnsi="Arial" w:cs="Arial"/>
        </w:rPr>
      </w:pPr>
    </w:p>
    <w:p w14:paraId="32B1AAAA">
      <w:pPr>
        <w:pStyle w:val="2"/>
        <w:spacing w:before="156" w:beforeLines="50" w:after="156" w:afterLines="50" w:line="360" w:lineRule="auto"/>
        <w:jc w:val="left"/>
        <w:rPr>
          <w:rStyle w:val="48"/>
          <w:rFonts w:hint="eastAsia"/>
          <w:color w:val="auto"/>
          <w:sz w:val="30"/>
          <w:szCs w:val="30"/>
        </w:rPr>
      </w:pPr>
      <w:r>
        <w:rPr>
          <w:rFonts w:ascii="Arial" w:hAnsi="Arial" w:cs="Arial"/>
        </w:rPr>
        <w:br w:type="page"/>
      </w:r>
      <w:bookmarkStart w:id="72" w:name="_Toc6301"/>
      <w:r>
        <w:rPr>
          <w:rStyle w:val="48"/>
          <w:color w:val="auto"/>
          <w:sz w:val="30"/>
          <w:szCs w:val="30"/>
          <w:u w:val="none"/>
        </w:rPr>
        <w:t>附件8  运行维护手册</w:t>
      </w:r>
      <w:bookmarkEnd w:id="72"/>
    </w:p>
    <w:p w14:paraId="64ECFE5E">
      <w:pPr>
        <w:spacing w:line="460" w:lineRule="exact"/>
      </w:pPr>
      <w:r>
        <w:t>运行维护手册格式要求如下：</w:t>
      </w:r>
    </w:p>
    <w:p w14:paraId="72E74858">
      <w:pPr>
        <w:spacing w:line="460" w:lineRule="exact"/>
        <w:rPr>
          <w:rFonts w:ascii="Arial" w:hAnsi="Arial" w:cs="Arial"/>
          <w:sz w:val="28"/>
        </w:rPr>
      </w:pPr>
    </w:p>
    <w:p w14:paraId="2DCF3CE6">
      <w:pPr>
        <w:spacing w:line="460" w:lineRule="exact"/>
        <w:rPr>
          <w:rFonts w:ascii="Arial" w:hAnsi="Arial" w:cs="Arial"/>
          <w:sz w:val="28"/>
        </w:rPr>
      </w:pPr>
    </w:p>
    <w:p w14:paraId="026010CF">
      <w:pPr>
        <w:spacing w:line="600" w:lineRule="exact"/>
        <w:jc w:val="center"/>
        <w:rPr>
          <w:rFonts w:ascii="Arial" w:hAnsi="Arial" w:cs="Arial"/>
          <w:b/>
          <w:sz w:val="44"/>
        </w:rPr>
      </w:pPr>
      <w:r>
        <w:rPr>
          <w:rFonts w:hint="eastAsia"/>
          <w:b/>
          <w:sz w:val="44"/>
        </w:rPr>
        <w:t>浙能嘉兴电厂四期扩建项目10号机组</w:t>
      </w:r>
    </w:p>
    <w:p w14:paraId="3A719317">
      <w:pPr>
        <w:spacing w:line="600" w:lineRule="exact"/>
        <w:jc w:val="center"/>
        <w:rPr>
          <w:rFonts w:ascii="Arial" w:hAnsi="Arial" w:cs="Arial"/>
          <w:kern w:val="2"/>
        </w:rPr>
      </w:pPr>
    </w:p>
    <w:p w14:paraId="3224B48C">
      <w:pPr>
        <w:pStyle w:val="111"/>
        <w:spacing w:line="460" w:lineRule="exact"/>
        <w:jc w:val="left"/>
        <w:rPr>
          <w:rFonts w:ascii="Arial" w:hAnsi="Arial" w:cs="Arial"/>
          <w:kern w:val="2"/>
        </w:rPr>
      </w:pPr>
    </w:p>
    <w:p w14:paraId="452F2B83">
      <w:pPr>
        <w:adjustRightInd/>
        <w:spacing w:line="360" w:lineRule="auto"/>
        <w:jc w:val="center"/>
        <w:textAlignment w:val="auto"/>
        <w:rPr>
          <w:b/>
          <w:kern w:val="2"/>
          <w:sz w:val="44"/>
          <w:szCs w:val="44"/>
        </w:rPr>
      </w:pPr>
      <w:r>
        <w:rPr>
          <w:rFonts w:hint="eastAsia"/>
          <w:b/>
          <w:kern w:val="2"/>
          <w:sz w:val="44"/>
          <w:szCs w:val="44"/>
        </w:rPr>
        <w:t>集控室LED大屏显示系统</w:t>
      </w:r>
    </w:p>
    <w:p w14:paraId="3DA51376">
      <w:pPr>
        <w:pStyle w:val="2"/>
        <w:rPr>
          <w:rFonts w:hint="eastAsia"/>
        </w:rPr>
      </w:pPr>
    </w:p>
    <w:p w14:paraId="00E86BAA">
      <w:pPr>
        <w:adjustRightInd/>
        <w:spacing w:line="360" w:lineRule="auto"/>
        <w:jc w:val="center"/>
        <w:textAlignment w:val="auto"/>
        <w:rPr>
          <w:b/>
          <w:kern w:val="2"/>
          <w:sz w:val="32"/>
          <w:szCs w:val="24"/>
        </w:rPr>
      </w:pPr>
      <w:r>
        <w:rPr>
          <w:b/>
          <w:kern w:val="2"/>
          <w:sz w:val="32"/>
          <w:szCs w:val="24"/>
        </w:rPr>
        <w:t>运行维护</w:t>
      </w:r>
    </w:p>
    <w:p w14:paraId="6F770B68">
      <w:pPr>
        <w:spacing w:line="460" w:lineRule="exact"/>
        <w:rPr>
          <w:rFonts w:ascii="Arial" w:hAnsi="Arial" w:cs="Arial"/>
          <w:b/>
          <w:sz w:val="32"/>
        </w:rPr>
      </w:pPr>
    </w:p>
    <w:p w14:paraId="44FD8CE4">
      <w:pPr>
        <w:adjustRightInd/>
        <w:spacing w:line="360" w:lineRule="auto"/>
        <w:jc w:val="center"/>
        <w:textAlignment w:val="auto"/>
        <w:rPr>
          <w:b/>
          <w:kern w:val="2"/>
          <w:sz w:val="32"/>
          <w:szCs w:val="24"/>
        </w:rPr>
      </w:pPr>
      <w:r>
        <w:rPr>
          <w:b/>
          <w:kern w:val="2"/>
          <w:sz w:val="32"/>
          <w:szCs w:val="24"/>
        </w:rPr>
        <w:t>手</w:t>
      </w:r>
    </w:p>
    <w:p w14:paraId="4E12F2CD">
      <w:pPr>
        <w:adjustRightInd/>
        <w:spacing w:line="360" w:lineRule="auto"/>
        <w:jc w:val="center"/>
        <w:textAlignment w:val="auto"/>
        <w:rPr>
          <w:b/>
          <w:kern w:val="2"/>
          <w:sz w:val="32"/>
          <w:szCs w:val="24"/>
        </w:rPr>
      </w:pPr>
    </w:p>
    <w:p w14:paraId="47F9727F">
      <w:pPr>
        <w:adjustRightInd/>
        <w:spacing w:line="360" w:lineRule="auto"/>
        <w:jc w:val="center"/>
        <w:textAlignment w:val="auto"/>
        <w:rPr>
          <w:b/>
          <w:kern w:val="2"/>
          <w:sz w:val="32"/>
          <w:szCs w:val="24"/>
        </w:rPr>
      </w:pPr>
      <w:r>
        <w:rPr>
          <w:b/>
          <w:kern w:val="2"/>
          <w:sz w:val="32"/>
          <w:szCs w:val="24"/>
        </w:rPr>
        <w:t>册</w:t>
      </w:r>
    </w:p>
    <w:p w14:paraId="47AA4BAD">
      <w:pPr>
        <w:spacing w:line="460" w:lineRule="exact"/>
        <w:jc w:val="center"/>
        <w:rPr>
          <w:rFonts w:ascii="Arial" w:hAnsi="Arial" w:cs="Arial"/>
          <w:b/>
          <w:sz w:val="32"/>
        </w:rPr>
      </w:pPr>
    </w:p>
    <w:p w14:paraId="6B260802">
      <w:pPr>
        <w:spacing w:line="460" w:lineRule="exact"/>
        <w:jc w:val="center"/>
        <w:rPr>
          <w:rFonts w:ascii="Arial" w:hAnsi="Arial" w:cs="Arial"/>
          <w:b/>
          <w:sz w:val="32"/>
        </w:rPr>
      </w:pPr>
    </w:p>
    <w:p w14:paraId="2D0E1E9A">
      <w:pPr>
        <w:spacing w:line="500" w:lineRule="exact"/>
      </w:pPr>
      <w:r>
        <w:rPr>
          <w:rFonts w:hint="eastAsia"/>
        </w:rPr>
        <w:t>要求：一式**套</w:t>
      </w:r>
    </w:p>
    <w:p w14:paraId="11B8C6C0">
      <w:pPr>
        <w:spacing w:line="500" w:lineRule="exact"/>
      </w:pPr>
      <w:r>
        <w:rPr>
          <w:rFonts w:hint="eastAsia"/>
        </w:rPr>
        <w:t>纸张：</w:t>
      </w:r>
      <w:r>
        <w:t>A4</w:t>
      </w:r>
    </w:p>
    <w:p w14:paraId="78AD6E31">
      <w:pPr>
        <w:spacing w:line="500" w:lineRule="exact"/>
      </w:pPr>
      <w:r>
        <w:rPr>
          <w:rFonts w:hint="eastAsia"/>
        </w:rPr>
        <w:t>字体：宋体，小四号</w:t>
      </w:r>
    </w:p>
    <w:p w14:paraId="306941B7">
      <w:pPr>
        <w:spacing w:line="500" w:lineRule="exact"/>
      </w:pPr>
      <w:r>
        <w:rPr>
          <w:rFonts w:hint="eastAsia"/>
        </w:rPr>
        <w:t>行间距：</w:t>
      </w:r>
      <w:r>
        <w:t>1.5</w:t>
      </w:r>
      <w:r>
        <w:rPr>
          <w:rFonts w:hint="eastAsia"/>
        </w:rPr>
        <w:t>倍</w:t>
      </w:r>
    </w:p>
    <w:p w14:paraId="510AE352">
      <w:pPr>
        <w:spacing w:line="500" w:lineRule="exact"/>
      </w:pPr>
      <w:r>
        <w:rPr>
          <w:rFonts w:hint="eastAsia"/>
        </w:rPr>
        <w:t>页边距（</w:t>
      </w:r>
      <w:r>
        <w:t>mm</w:t>
      </w:r>
      <w:r>
        <w:rPr>
          <w:rFonts w:hint="eastAsia"/>
        </w:rPr>
        <w:t>）：左</w:t>
      </w:r>
      <w:r>
        <w:t xml:space="preserve">-30  </w:t>
      </w:r>
      <w:r>
        <w:rPr>
          <w:rFonts w:hint="eastAsia"/>
        </w:rPr>
        <w:t>右</w:t>
      </w:r>
      <w:r>
        <w:t xml:space="preserve">-25  </w:t>
      </w:r>
      <w:r>
        <w:rPr>
          <w:rFonts w:hint="eastAsia"/>
        </w:rPr>
        <w:t>上</w:t>
      </w:r>
      <w:r>
        <w:t xml:space="preserve">-30  </w:t>
      </w:r>
      <w:r>
        <w:rPr>
          <w:rFonts w:hint="eastAsia"/>
        </w:rPr>
        <w:t>下</w:t>
      </w:r>
      <w:r>
        <w:t>-40</w:t>
      </w:r>
    </w:p>
    <w:p w14:paraId="29BF9276">
      <w:pPr>
        <w:spacing w:line="500" w:lineRule="exact"/>
      </w:pPr>
      <w:r>
        <w:rPr>
          <w:rFonts w:hint="eastAsia"/>
        </w:rPr>
        <w:t>页眉：**设备运行维护手册</w:t>
      </w:r>
    </w:p>
    <w:p w14:paraId="35629242">
      <w:pPr>
        <w:spacing w:line="500" w:lineRule="exact"/>
      </w:pPr>
      <w:r>
        <w:rPr>
          <w:rFonts w:hint="eastAsia"/>
        </w:rPr>
        <w:t>注：在正式提交前，先由招标人审定。</w:t>
      </w:r>
    </w:p>
    <w:p w14:paraId="2191BC34">
      <w:pPr>
        <w:spacing w:line="360" w:lineRule="auto"/>
      </w:pPr>
    </w:p>
    <w:p w14:paraId="6EEDE2A4">
      <w:pPr>
        <w:widowControl/>
        <w:autoSpaceDE w:val="0"/>
        <w:autoSpaceDN w:val="0"/>
        <w:snapToGrid w:val="0"/>
        <w:spacing w:line="360" w:lineRule="auto"/>
        <w:ind w:firstLine="480" w:firstLineChars="200"/>
        <w:textAlignment w:val="bottom"/>
      </w:pPr>
      <w:r>
        <w:rPr>
          <w:rFonts w:hint="eastAsia"/>
        </w:rPr>
        <w:t>设备运行和维护手册的目的是能够把全部必要的数据和说明装订成册，这样，运行人员可以较好地查阅和理解最初调试及试运行工作、有效操作以及在正常、事故</w:t>
      </w:r>
    </w:p>
    <w:p w14:paraId="371C9FEB">
      <w:pPr>
        <w:widowControl/>
        <w:autoSpaceDE w:val="0"/>
        <w:autoSpaceDN w:val="0"/>
        <w:snapToGrid w:val="0"/>
        <w:spacing w:line="360" w:lineRule="auto"/>
        <w:ind w:firstLine="480" w:firstLineChars="200"/>
        <w:textAlignment w:val="bottom"/>
      </w:pPr>
      <w:r>
        <w:rPr>
          <w:rFonts w:hint="eastAsia"/>
        </w:rPr>
        <w:t>异常</w:t>
      </w:r>
      <w:r>
        <w:t>(</w:t>
      </w:r>
      <w:r>
        <w:rPr>
          <w:rFonts w:hint="eastAsia"/>
        </w:rPr>
        <w:t>非设计情况</w:t>
      </w:r>
      <w:r>
        <w:t>)</w:t>
      </w:r>
      <w:r>
        <w:rPr>
          <w:rFonts w:hint="eastAsia"/>
        </w:rPr>
        <w:t>下怎样正确操作设备和停机。在提交之前，双方应商定操作和维护手册的形式和内容。</w:t>
      </w:r>
    </w:p>
    <w:p w14:paraId="602FDB67">
      <w:pPr>
        <w:widowControl/>
        <w:autoSpaceDE w:val="0"/>
        <w:autoSpaceDN w:val="0"/>
        <w:snapToGrid w:val="0"/>
        <w:spacing w:line="360" w:lineRule="auto"/>
        <w:ind w:firstLine="480" w:firstLineChars="200"/>
        <w:textAlignment w:val="bottom"/>
      </w:pPr>
      <w:r>
        <w:rPr>
          <w:rFonts w:hint="eastAsia"/>
        </w:rPr>
        <w:t>该手册应详细地叙述和说明设备构造，使新来的操作和维护人员能够研究和理解设备的功能的控制方法。</w:t>
      </w:r>
    </w:p>
    <w:p w14:paraId="2700E0E0">
      <w:pPr>
        <w:widowControl/>
        <w:autoSpaceDE w:val="0"/>
        <w:autoSpaceDN w:val="0"/>
        <w:snapToGrid w:val="0"/>
        <w:spacing w:line="360" w:lineRule="auto"/>
        <w:ind w:firstLine="480" w:firstLineChars="200"/>
        <w:textAlignment w:val="bottom"/>
      </w:pPr>
      <w:r>
        <w:rPr>
          <w:rFonts w:hint="eastAsia"/>
        </w:rPr>
        <w:t>手册中应能够快速查阅运行参数、设备说明书、操作、维护和安全程度。</w:t>
      </w:r>
    </w:p>
    <w:p w14:paraId="67BFBEC6">
      <w:pPr>
        <w:widowControl/>
        <w:autoSpaceDE w:val="0"/>
        <w:autoSpaceDN w:val="0"/>
        <w:snapToGrid w:val="0"/>
        <w:spacing w:line="360" w:lineRule="auto"/>
        <w:ind w:firstLine="480" w:firstLineChars="200"/>
        <w:textAlignment w:val="bottom"/>
      </w:pPr>
      <w:r>
        <w:rPr>
          <w:rFonts w:hint="eastAsia"/>
        </w:rPr>
        <w:t>运行和维护手册应包括，但不限于下述内容：</w:t>
      </w:r>
    </w:p>
    <w:p w14:paraId="4206A41F">
      <w:pPr>
        <w:widowControl/>
        <w:autoSpaceDE w:val="0"/>
        <w:autoSpaceDN w:val="0"/>
        <w:snapToGrid w:val="0"/>
        <w:spacing w:line="360" w:lineRule="auto"/>
        <w:ind w:firstLine="480" w:firstLineChars="200"/>
        <w:textAlignment w:val="bottom"/>
      </w:pPr>
      <w:r>
        <w:rPr>
          <w:rFonts w:hint="eastAsia"/>
        </w:rPr>
        <w:t>设备概述，包括设备、系统说明、设备结构、功能说明、技术规范等。</w:t>
      </w:r>
    </w:p>
    <w:p w14:paraId="13D30C36">
      <w:pPr>
        <w:widowControl/>
        <w:autoSpaceDE w:val="0"/>
        <w:autoSpaceDN w:val="0"/>
        <w:snapToGrid w:val="0"/>
        <w:spacing w:line="360" w:lineRule="auto"/>
        <w:ind w:firstLine="480" w:firstLineChars="200"/>
        <w:textAlignment w:val="bottom"/>
      </w:pPr>
      <w:r>
        <w:rPr>
          <w:rFonts w:hint="eastAsia"/>
        </w:rPr>
        <w:t>设备启动、运行和停运的操作程序及注意事项。</w:t>
      </w:r>
    </w:p>
    <w:p w14:paraId="22882A04">
      <w:pPr>
        <w:widowControl/>
        <w:autoSpaceDE w:val="0"/>
        <w:autoSpaceDN w:val="0"/>
        <w:snapToGrid w:val="0"/>
        <w:spacing w:line="360" w:lineRule="auto"/>
        <w:ind w:firstLine="480" w:firstLineChars="200"/>
        <w:textAlignment w:val="bottom"/>
      </w:pPr>
      <w:r>
        <w:rPr>
          <w:rFonts w:hint="eastAsia"/>
        </w:rPr>
        <w:t>设备联锁和保护功能说明。</w:t>
      </w:r>
    </w:p>
    <w:p w14:paraId="5CC0B058">
      <w:pPr>
        <w:widowControl/>
        <w:autoSpaceDE w:val="0"/>
        <w:autoSpaceDN w:val="0"/>
        <w:snapToGrid w:val="0"/>
        <w:spacing w:line="360" w:lineRule="auto"/>
        <w:ind w:firstLine="480" w:firstLineChars="200"/>
        <w:textAlignment w:val="bottom"/>
      </w:pPr>
      <w:r>
        <w:rPr>
          <w:rFonts w:hint="eastAsia"/>
        </w:rPr>
        <w:t>设备安装、拆卸、维护的程序及注意事项。</w:t>
      </w:r>
    </w:p>
    <w:p w14:paraId="673A1874">
      <w:pPr>
        <w:widowControl/>
        <w:autoSpaceDE w:val="0"/>
        <w:autoSpaceDN w:val="0"/>
        <w:snapToGrid w:val="0"/>
        <w:spacing w:line="360" w:lineRule="auto"/>
        <w:ind w:firstLine="480" w:firstLineChars="200"/>
        <w:textAlignment w:val="bottom"/>
      </w:pPr>
      <w:r>
        <w:rPr>
          <w:rFonts w:hint="eastAsia"/>
        </w:rPr>
        <w:t>设备零、部件清单，包括名称、图号、规格、材质、制造厂家全称等。</w:t>
      </w:r>
    </w:p>
    <w:p w14:paraId="3AC8F6FA">
      <w:pPr>
        <w:widowControl/>
        <w:autoSpaceDE w:val="0"/>
        <w:autoSpaceDN w:val="0"/>
        <w:snapToGrid w:val="0"/>
        <w:spacing w:line="360" w:lineRule="auto"/>
        <w:ind w:firstLine="480" w:firstLineChars="200"/>
        <w:textAlignment w:val="bottom"/>
      </w:pPr>
      <w:r>
        <w:rPr>
          <w:rFonts w:hint="eastAsia"/>
        </w:rPr>
        <w:t>设备易损件、消耗性材料清单，包括名称、规格、制造厂家全称等。</w:t>
      </w:r>
    </w:p>
    <w:p w14:paraId="4AB7B0AF">
      <w:pPr>
        <w:widowControl/>
        <w:autoSpaceDE w:val="0"/>
        <w:autoSpaceDN w:val="0"/>
        <w:snapToGrid w:val="0"/>
        <w:spacing w:line="360" w:lineRule="auto"/>
        <w:ind w:firstLine="480" w:firstLineChars="200"/>
        <w:textAlignment w:val="bottom"/>
      </w:pPr>
      <w:r>
        <w:rPr>
          <w:rFonts w:hint="eastAsia"/>
        </w:rPr>
        <w:t>为便于使用和查阅，手册应分成卷，每一卷包括封面的最大厚度为</w:t>
      </w:r>
      <w:r>
        <w:t>50mm</w:t>
      </w:r>
      <w:r>
        <w:rPr>
          <w:rFonts w:hint="eastAsia"/>
        </w:rPr>
        <w:t>。</w:t>
      </w:r>
    </w:p>
    <w:p w14:paraId="0401F794">
      <w:pPr>
        <w:widowControl/>
        <w:autoSpaceDE w:val="0"/>
        <w:autoSpaceDN w:val="0"/>
        <w:snapToGrid w:val="0"/>
        <w:spacing w:line="360" w:lineRule="auto"/>
        <w:ind w:firstLine="480" w:firstLineChars="200"/>
        <w:textAlignment w:val="bottom"/>
      </w:pPr>
      <w:r>
        <w:rPr>
          <w:rFonts w:hint="eastAsia"/>
        </w:rPr>
        <w:t>每一卷的版式应尽可能地一致，每一部分的系统、设备等描述顺序也应一致。</w:t>
      </w:r>
    </w:p>
    <w:p w14:paraId="5A839F9D">
      <w:pPr>
        <w:widowControl/>
        <w:autoSpaceDE w:val="0"/>
        <w:autoSpaceDN w:val="0"/>
        <w:snapToGrid w:val="0"/>
        <w:spacing w:line="360" w:lineRule="auto"/>
        <w:ind w:firstLine="480" w:firstLineChars="200"/>
        <w:textAlignment w:val="bottom"/>
      </w:pPr>
    </w:p>
    <w:p w14:paraId="068F2261">
      <w:pPr>
        <w:spacing w:line="300" w:lineRule="auto"/>
        <w:ind w:firstLine="570"/>
      </w:pPr>
    </w:p>
    <w:p w14:paraId="3C269CA2">
      <w:pPr>
        <w:spacing w:line="300" w:lineRule="auto"/>
        <w:ind w:firstLine="570"/>
      </w:pPr>
    </w:p>
    <w:p w14:paraId="3053D1F0">
      <w:pPr>
        <w:spacing w:line="300" w:lineRule="auto"/>
        <w:ind w:firstLine="570"/>
      </w:pPr>
    </w:p>
    <w:p w14:paraId="1AA9AAEC">
      <w:pPr>
        <w:spacing w:line="300" w:lineRule="auto"/>
        <w:ind w:firstLine="570"/>
        <w:rPr>
          <w:rFonts w:ascii="Arial" w:hAnsi="Arial" w:cs="Arial"/>
          <w:szCs w:val="24"/>
        </w:rPr>
      </w:pPr>
    </w:p>
    <w:p w14:paraId="7A0EE531">
      <w:pPr>
        <w:widowControl/>
        <w:autoSpaceDE w:val="0"/>
        <w:autoSpaceDN w:val="0"/>
        <w:snapToGrid w:val="0"/>
        <w:spacing w:line="360" w:lineRule="auto"/>
        <w:textAlignment w:val="bottom"/>
        <w:rPr>
          <w:rFonts w:ascii="Arial" w:hAnsi="Arial" w:cs="Arial"/>
          <w:szCs w:val="24"/>
        </w:rPr>
      </w:pPr>
    </w:p>
    <w:p w14:paraId="287B7141">
      <w:pPr>
        <w:widowControl/>
        <w:autoSpaceDE w:val="0"/>
        <w:autoSpaceDN w:val="0"/>
        <w:snapToGrid w:val="0"/>
        <w:spacing w:line="360" w:lineRule="auto"/>
        <w:textAlignment w:val="bottom"/>
        <w:rPr>
          <w:rFonts w:ascii="Arial" w:hAnsi="Arial" w:cs="Arial"/>
          <w:szCs w:val="24"/>
        </w:rPr>
      </w:pPr>
    </w:p>
    <w:p w14:paraId="22B4862F">
      <w:pPr>
        <w:pStyle w:val="2"/>
        <w:spacing w:before="156" w:beforeLines="50" w:after="156" w:afterLines="50" w:line="360" w:lineRule="auto"/>
        <w:jc w:val="left"/>
        <w:rPr>
          <w:rStyle w:val="48"/>
          <w:rFonts w:hint="eastAsia"/>
          <w:color w:val="auto"/>
          <w:szCs w:val="28"/>
        </w:rPr>
      </w:pPr>
      <w:r>
        <w:rPr>
          <w:rFonts w:ascii="Arial" w:hAnsi="Arial" w:cs="Arial"/>
        </w:rPr>
        <w:br w:type="page"/>
      </w:r>
      <w:bookmarkStart w:id="73" w:name="_Toc21908"/>
      <w:r>
        <w:rPr>
          <w:rStyle w:val="48"/>
          <w:color w:val="auto"/>
          <w:sz w:val="30"/>
          <w:szCs w:val="30"/>
          <w:u w:val="none"/>
        </w:rPr>
        <w:t>附件9  大（部）件情况</w:t>
      </w:r>
      <w:bookmarkEnd w:id="73"/>
    </w:p>
    <w:tbl>
      <w:tblPr>
        <w:tblStyle w:val="42"/>
        <w:tblW w:w="8843"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664"/>
        <w:gridCol w:w="998"/>
        <w:gridCol w:w="832"/>
        <w:gridCol w:w="832"/>
        <w:gridCol w:w="997"/>
        <w:gridCol w:w="831"/>
        <w:gridCol w:w="831"/>
        <w:gridCol w:w="997"/>
        <w:gridCol w:w="1097"/>
        <w:gridCol w:w="764"/>
      </w:tblGrid>
      <w:tr w14:paraId="6F5B593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Pr>
        <w:tc>
          <w:tcPr>
            <w:tcW w:w="664" w:type="dxa"/>
            <w:vMerge w:val="restart"/>
            <w:vAlign w:val="center"/>
          </w:tcPr>
          <w:p w14:paraId="028C7C10">
            <w:pPr>
              <w:tabs>
                <w:tab w:val="left" w:pos="600"/>
              </w:tabs>
              <w:spacing w:line="360" w:lineRule="auto"/>
              <w:jc w:val="center"/>
            </w:pPr>
            <w:r>
              <w:t>序</w:t>
            </w:r>
          </w:p>
          <w:p w14:paraId="6280341F">
            <w:pPr>
              <w:tabs>
                <w:tab w:val="left" w:pos="600"/>
              </w:tabs>
              <w:spacing w:line="360" w:lineRule="auto"/>
              <w:jc w:val="center"/>
            </w:pPr>
            <w:r>
              <w:t>号</w:t>
            </w:r>
          </w:p>
        </w:tc>
        <w:tc>
          <w:tcPr>
            <w:tcW w:w="998" w:type="dxa"/>
            <w:vMerge w:val="restart"/>
            <w:vAlign w:val="center"/>
          </w:tcPr>
          <w:p w14:paraId="6B5C7FF3">
            <w:pPr>
              <w:tabs>
                <w:tab w:val="left" w:pos="600"/>
              </w:tabs>
              <w:spacing w:line="360" w:lineRule="auto"/>
              <w:jc w:val="center"/>
            </w:pPr>
            <w:r>
              <w:t>部件名称</w:t>
            </w:r>
          </w:p>
        </w:tc>
        <w:tc>
          <w:tcPr>
            <w:tcW w:w="832" w:type="dxa"/>
            <w:vMerge w:val="restart"/>
            <w:vAlign w:val="center"/>
          </w:tcPr>
          <w:p w14:paraId="56A57354">
            <w:pPr>
              <w:tabs>
                <w:tab w:val="left" w:pos="600"/>
              </w:tabs>
              <w:spacing w:line="360" w:lineRule="auto"/>
              <w:jc w:val="center"/>
            </w:pPr>
            <w:r>
              <w:t>数量</w:t>
            </w:r>
          </w:p>
        </w:tc>
        <w:tc>
          <w:tcPr>
            <w:tcW w:w="1829" w:type="dxa"/>
            <w:gridSpan w:val="2"/>
            <w:vAlign w:val="center"/>
          </w:tcPr>
          <w:p w14:paraId="244646A4">
            <w:pPr>
              <w:tabs>
                <w:tab w:val="left" w:pos="600"/>
              </w:tabs>
              <w:spacing w:line="360" w:lineRule="auto"/>
              <w:jc w:val="center"/>
            </w:pPr>
            <w:r>
              <w:t>尺寸（m)长×宽×高</w:t>
            </w:r>
          </w:p>
        </w:tc>
        <w:tc>
          <w:tcPr>
            <w:tcW w:w="1662" w:type="dxa"/>
            <w:gridSpan w:val="2"/>
            <w:vAlign w:val="center"/>
          </w:tcPr>
          <w:p w14:paraId="3710D559">
            <w:pPr>
              <w:tabs>
                <w:tab w:val="left" w:pos="600"/>
              </w:tabs>
              <w:spacing w:line="360" w:lineRule="auto"/>
              <w:jc w:val="center"/>
            </w:pPr>
            <w:r>
              <w:t>重量（t）</w:t>
            </w:r>
          </w:p>
        </w:tc>
        <w:tc>
          <w:tcPr>
            <w:tcW w:w="997" w:type="dxa"/>
            <w:vMerge w:val="restart"/>
            <w:vAlign w:val="center"/>
          </w:tcPr>
          <w:p w14:paraId="1BD59405">
            <w:pPr>
              <w:tabs>
                <w:tab w:val="left" w:pos="600"/>
              </w:tabs>
              <w:spacing w:line="360" w:lineRule="auto"/>
              <w:jc w:val="center"/>
            </w:pPr>
            <w:r>
              <w:t>厂家名称</w:t>
            </w:r>
          </w:p>
        </w:tc>
        <w:tc>
          <w:tcPr>
            <w:tcW w:w="1097" w:type="dxa"/>
            <w:vMerge w:val="restart"/>
            <w:vAlign w:val="center"/>
          </w:tcPr>
          <w:p w14:paraId="6B9C51BD">
            <w:pPr>
              <w:tabs>
                <w:tab w:val="left" w:pos="600"/>
              </w:tabs>
              <w:spacing w:line="360" w:lineRule="auto"/>
              <w:jc w:val="center"/>
            </w:pPr>
            <w:r>
              <w:t>部件产地</w:t>
            </w:r>
          </w:p>
        </w:tc>
        <w:tc>
          <w:tcPr>
            <w:tcW w:w="764" w:type="dxa"/>
            <w:vMerge w:val="restart"/>
            <w:vAlign w:val="center"/>
          </w:tcPr>
          <w:p w14:paraId="66F8BC44">
            <w:pPr>
              <w:tabs>
                <w:tab w:val="left" w:pos="600"/>
              </w:tabs>
              <w:spacing w:line="360" w:lineRule="auto"/>
              <w:jc w:val="center"/>
            </w:pPr>
            <w:r>
              <w:t>备注</w:t>
            </w:r>
          </w:p>
        </w:tc>
      </w:tr>
      <w:tr w14:paraId="255758A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Pr>
        <w:tc>
          <w:tcPr>
            <w:tcW w:w="664" w:type="dxa"/>
            <w:vMerge w:val="continue"/>
          </w:tcPr>
          <w:p w14:paraId="1E7B5F84">
            <w:pPr>
              <w:tabs>
                <w:tab w:val="left" w:pos="600"/>
              </w:tabs>
              <w:spacing w:line="360" w:lineRule="auto"/>
              <w:jc w:val="center"/>
            </w:pPr>
          </w:p>
        </w:tc>
        <w:tc>
          <w:tcPr>
            <w:tcW w:w="998" w:type="dxa"/>
            <w:vMerge w:val="continue"/>
          </w:tcPr>
          <w:p w14:paraId="7E0C0339">
            <w:pPr>
              <w:tabs>
                <w:tab w:val="left" w:pos="600"/>
              </w:tabs>
              <w:spacing w:line="360" w:lineRule="auto"/>
              <w:jc w:val="center"/>
            </w:pPr>
          </w:p>
        </w:tc>
        <w:tc>
          <w:tcPr>
            <w:tcW w:w="832" w:type="dxa"/>
            <w:vMerge w:val="continue"/>
          </w:tcPr>
          <w:p w14:paraId="2DE48B5B">
            <w:pPr>
              <w:tabs>
                <w:tab w:val="left" w:pos="600"/>
              </w:tabs>
              <w:spacing w:line="360" w:lineRule="auto"/>
              <w:jc w:val="center"/>
            </w:pPr>
          </w:p>
        </w:tc>
        <w:tc>
          <w:tcPr>
            <w:tcW w:w="832" w:type="dxa"/>
          </w:tcPr>
          <w:p w14:paraId="33C30065">
            <w:pPr>
              <w:tabs>
                <w:tab w:val="left" w:pos="600"/>
              </w:tabs>
              <w:spacing w:line="360" w:lineRule="auto"/>
              <w:jc w:val="center"/>
            </w:pPr>
            <w:r>
              <w:t>包装</w:t>
            </w:r>
          </w:p>
        </w:tc>
        <w:tc>
          <w:tcPr>
            <w:tcW w:w="997" w:type="dxa"/>
          </w:tcPr>
          <w:p w14:paraId="5AF2F077">
            <w:pPr>
              <w:tabs>
                <w:tab w:val="left" w:pos="600"/>
              </w:tabs>
              <w:spacing w:line="360" w:lineRule="auto"/>
              <w:jc w:val="center"/>
            </w:pPr>
            <w:r>
              <w:t>未包装</w:t>
            </w:r>
          </w:p>
        </w:tc>
        <w:tc>
          <w:tcPr>
            <w:tcW w:w="831" w:type="dxa"/>
          </w:tcPr>
          <w:p w14:paraId="34FFF3E7">
            <w:pPr>
              <w:tabs>
                <w:tab w:val="left" w:pos="600"/>
              </w:tabs>
              <w:spacing w:line="360" w:lineRule="auto"/>
              <w:jc w:val="center"/>
            </w:pPr>
            <w:r>
              <w:t>包装</w:t>
            </w:r>
          </w:p>
        </w:tc>
        <w:tc>
          <w:tcPr>
            <w:tcW w:w="831" w:type="dxa"/>
          </w:tcPr>
          <w:p w14:paraId="5A3CA342">
            <w:pPr>
              <w:tabs>
                <w:tab w:val="left" w:pos="600"/>
              </w:tabs>
              <w:spacing w:line="360" w:lineRule="auto"/>
              <w:jc w:val="center"/>
            </w:pPr>
            <w:r>
              <w:t>未包装</w:t>
            </w:r>
          </w:p>
        </w:tc>
        <w:tc>
          <w:tcPr>
            <w:tcW w:w="997" w:type="dxa"/>
            <w:vMerge w:val="continue"/>
          </w:tcPr>
          <w:p w14:paraId="634FF99C">
            <w:pPr>
              <w:tabs>
                <w:tab w:val="left" w:pos="600"/>
              </w:tabs>
              <w:spacing w:line="360" w:lineRule="auto"/>
              <w:jc w:val="center"/>
            </w:pPr>
          </w:p>
        </w:tc>
        <w:tc>
          <w:tcPr>
            <w:tcW w:w="1097" w:type="dxa"/>
            <w:vMerge w:val="continue"/>
          </w:tcPr>
          <w:p w14:paraId="0E27BF53">
            <w:pPr>
              <w:tabs>
                <w:tab w:val="left" w:pos="600"/>
              </w:tabs>
              <w:spacing w:line="360" w:lineRule="auto"/>
              <w:jc w:val="center"/>
            </w:pPr>
          </w:p>
        </w:tc>
        <w:tc>
          <w:tcPr>
            <w:tcW w:w="764" w:type="dxa"/>
            <w:vMerge w:val="continue"/>
          </w:tcPr>
          <w:p w14:paraId="25E38AFA">
            <w:pPr>
              <w:tabs>
                <w:tab w:val="left" w:pos="600"/>
              </w:tabs>
              <w:spacing w:line="360" w:lineRule="auto"/>
              <w:jc w:val="center"/>
            </w:pPr>
          </w:p>
        </w:tc>
      </w:tr>
      <w:tr w14:paraId="1AA4732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664" w:type="dxa"/>
          </w:tcPr>
          <w:p w14:paraId="22F11BF2">
            <w:pPr>
              <w:tabs>
                <w:tab w:val="left" w:pos="600"/>
              </w:tabs>
              <w:spacing w:line="360" w:lineRule="auto"/>
              <w:jc w:val="center"/>
            </w:pPr>
            <w:r>
              <w:t>1</w:t>
            </w:r>
          </w:p>
        </w:tc>
        <w:tc>
          <w:tcPr>
            <w:tcW w:w="998" w:type="dxa"/>
          </w:tcPr>
          <w:p w14:paraId="16C9D082">
            <w:pPr>
              <w:tabs>
                <w:tab w:val="left" w:pos="600"/>
              </w:tabs>
              <w:spacing w:line="360" w:lineRule="auto"/>
              <w:jc w:val="center"/>
            </w:pPr>
          </w:p>
        </w:tc>
        <w:tc>
          <w:tcPr>
            <w:tcW w:w="832" w:type="dxa"/>
          </w:tcPr>
          <w:p w14:paraId="5750CA8A">
            <w:pPr>
              <w:tabs>
                <w:tab w:val="left" w:pos="600"/>
              </w:tabs>
              <w:spacing w:line="360" w:lineRule="auto"/>
              <w:jc w:val="center"/>
            </w:pPr>
          </w:p>
        </w:tc>
        <w:tc>
          <w:tcPr>
            <w:tcW w:w="832" w:type="dxa"/>
          </w:tcPr>
          <w:p w14:paraId="5176FCA1">
            <w:pPr>
              <w:tabs>
                <w:tab w:val="left" w:pos="600"/>
              </w:tabs>
              <w:spacing w:line="360" w:lineRule="auto"/>
              <w:jc w:val="center"/>
            </w:pPr>
          </w:p>
        </w:tc>
        <w:tc>
          <w:tcPr>
            <w:tcW w:w="997" w:type="dxa"/>
          </w:tcPr>
          <w:p w14:paraId="5CC686ED">
            <w:pPr>
              <w:tabs>
                <w:tab w:val="left" w:pos="600"/>
              </w:tabs>
              <w:spacing w:line="360" w:lineRule="auto"/>
              <w:jc w:val="center"/>
            </w:pPr>
          </w:p>
        </w:tc>
        <w:tc>
          <w:tcPr>
            <w:tcW w:w="831" w:type="dxa"/>
          </w:tcPr>
          <w:p w14:paraId="47331527">
            <w:pPr>
              <w:tabs>
                <w:tab w:val="left" w:pos="600"/>
              </w:tabs>
              <w:spacing w:line="360" w:lineRule="auto"/>
              <w:jc w:val="center"/>
            </w:pPr>
          </w:p>
        </w:tc>
        <w:tc>
          <w:tcPr>
            <w:tcW w:w="831" w:type="dxa"/>
          </w:tcPr>
          <w:p w14:paraId="0DBF57F5">
            <w:pPr>
              <w:tabs>
                <w:tab w:val="left" w:pos="600"/>
              </w:tabs>
              <w:spacing w:line="360" w:lineRule="auto"/>
              <w:jc w:val="center"/>
            </w:pPr>
          </w:p>
        </w:tc>
        <w:tc>
          <w:tcPr>
            <w:tcW w:w="997" w:type="dxa"/>
          </w:tcPr>
          <w:p w14:paraId="009DFCDE">
            <w:pPr>
              <w:tabs>
                <w:tab w:val="left" w:pos="600"/>
              </w:tabs>
              <w:spacing w:line="360" w:lineRule="auto"/>
              <w:jc w:val="center"/>
            </w:pPr>
          </w:p>
        </w:tc>
        <w:tc>
          <w:tcPr>
            <w:tcW w:w="1097" w:type="dxa"/>
          </w:tcPr>
          <w:p w14:paraId="47FA803A">
            <w:pPr>
              <w:tabs>
                <w:tab w:val="left" w:pos="600"/>
              </w:tabs>
              <w:spacing w:line="360" w:lineRule="auto"/>
              <w:jc w:val="center"/>
            </w:pPr>
          </w:p>
        </w:tc>
        <w:tc>
          <w:tcPr>
            <w:tcW w:w="764" w:type="dxa"/>
          </w:tcPr>
          <w:p w14:paraId="70161805">
            <w:pPr>
              <w:tabs>
                <w:tab w:val="left" w:pos="600"/>
              </w:tabs>
              <w:spacing w:line="360" w:lineRule="auto"/>
              <w:jc w:val="center"/>
            </w:pPr>
          </w:p>
        </w:tc>
      </w:tr>
      <w:tr w14:paraId="7400439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664" w:type="dxa"/>
          </w:tcPr>
          <w:p w14:paraId="31E2520C">
            <w:pPr>
              <w:tabs>
                <w:tab w:val="left" w:pos="600"/>
              </w:tabs>
              <w:spacing w:line="360" w:lineRule="auto"/>
              <w:jc w:val="center"/>
            </w:pPr>
            <w:r>
              <w:t>2</w:t>
            </w:r>
          </w:p>
        </w:tc>
        <w:tc>
          <w:tcPr>
            <w:tcW w:w="998" w:type="dxa"/>
          </w:tcPr>
          <w:p w14:paraId="527256A6">
            <w:pPr>
              <w:tabs>
                <w:tab w:val="left" w:pos="600"/>
              </w:tabs>
              <w:spacing w:line="360" w:lineRule="auto"/>
              <w:jc w:val="center"/>
            </w:pPr>
          </w:p>
        </w:tc>
        <w:tc>
          <w:tcPr>
            <w:tcW w:w="832" w:type="dxa"/>
          </w:tcPr>
          <w:p w14:paraId="0772F24E">
            <w:pPr>
              <w:tabs>
                <w:tab w:val="left" w:pos="600"/>
              </w:tabs>
              <w:spacing w:line="360" w:lineRule="auto"/>
              <w:jc w:val="center"/>
            </w:pPr>
          </w:p>
        </w:tc>
        <w:tc>
          <w:tcPr>
            <w:tcW w:w="832" w:type="dxa"/>
          </w:tcPr>
          <w:p w14:paraId="5FC63F33">
            <w:pPr>
              <w:tabs>
                <w:tab w:val="left" w:pos="600"/>
              </w:tabs>
              <w:spacing w:line="360" w:lineRule="auto"/>
              <w:jc w:val="center"/>
            </w:pPr>
          </w:p>
        </w:tc>
        <w:tc>
          <w:tcPr>
            <w:tcW w:w="997" w:type="dxa"/>
          </w:tcPr>
          <w:p w14:paraId="53736F74">
            <w:pPr>
              <w:tabs>
                <w:tab w:val="left" w:pos="600"/>
              </w:tabs>
              <w:spacing w:line="360" w:lineRule="auto"/>
              <w:jc w:val="center"/>
            </w:pPr>
          </w:p>
        </w:tc>
        <w:tc>
          <w:tcPr>
            <w:tcW w:w="831" w:type="dxa"/>
          </w:tcPr>
          <w:p w14:paraId="0E878C83">
            <w:pPr>
              <w:tabs>
                <w:tab w:val="left" w:pos="600"/>
              </w:tabs>
              <w:spacing w:line="360" w:lineRule="auto"/>
              <w:jc w:val="center"/>
            </w:pPr>
          </w:p>
        </w:tc>
        <w:tc>
          <w:tcPr>
            <w:tcW w:w="831" w:type="dxa"/>
          </w:tcPr>
          <w:p w14:paraId="01262921">
            <w:pPr>
              <w:tabs>
                <w:tab w:val="left" w:pos="600"/>
              </w:tabs>
              <w:spacing w:line="360" w:lineRule="auto"/>
              <w:jc w:val="center"/>
            </w:pPr>
          </w:p>
        </w:tc>
        <w:tc>
          <w:tcPr>
            <w:tcW w:w="997" w:type="dxa"/>
          </w:tcPr>
          <w:p w14:paraId="3004788F">
            <w:pPr>
              <w:tabs>
                <w:tab w:val="left" w:pos="600"/>
              </w:tabs>
              <w:spacing w:line="360" w:lineRule="auto"/>
              <w:jc w:val="center"/>
            </w:pPr>
          </w:p>
        </w:tc>
        <w:tc>
          <w:tcPr>
            <w:tcW w:w="1097" w:type="dxa"/>
          </w:tcPr>
          <w:p w14:paraId="3691C7D0">
            <w:pPr>
              <w:tabs>
                <w:tab w:val="left" w:pos="600"/>
              </w:tabs>
              <w:spacing w:line="360" w:lineRule="auto"/>
              <w:jc w:val="center"/>
            </w:pPr>
          </w:p>
        </w:tc>
        <w:tc>
          <w:tcPr>
            <w:tcW w:w="764" w:type="dxa"/>
          </w:tcPr>
          <w:p w14:paraId="11AB4EF2">
            <w:pPr>
              <w:tabs>
                <w:tab w:val="left" w:pos="600"/>
              </w:tabs>
              <w:spacing w:line="360" w:lineRule="auto"/>
              <w:jc w:val="center"/>
            </w:pPr>
          </w:p>
        </w:tc>
      </w:tr>
      <w:tr w14:paraId="1111761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664" w:type="dxa"/>
          </w:tcPr>
          <w:p w14:paraId="492D37F1">
            <w:pPr>
              <w:tabs>
                <w:tab w:val="left" w:pos="600"/>
              </w:tabs>
              <w:spacing w:line="360" w:lineRule="auto"/>
              <w:jc w:val="center"/>
            </w:pPr>
            <w:r>
              <w:t>3</w:t>
            </w:r>
          </w:p>
        </w:tc>
        <w:tc>
          <w:tcPr>
            <w:tcW w:w="998" w:type="dxa"/>
          </w:tcPr>
          <w:p w14:paraId="66C7F4C9">
            <w:pPr>
              <w:tabs>
                <w:tab w:val="left" w:pos="600"/>
              </w:tabs>
              <w:spacing w:line="360" w:lineRule="auto"/>
              <w:jc w:val="center"/>
            </w:pPr>
          </w:p>
        </w:tc>
        <w:tc>
          <w:tcPr>
            <w:tcW w:w="832" w:type="dxa"/>
          </w:tcPr>
          <w:p w14:paraId="2006B3DD">
            <w:pPr>
              <w:tabs>
                <w:tab w:val="left" w:pos="600"/>
              </w:tabs>
              <w:spacing w:line="360" w:lineRule="auto"/>
              <w:jc w:val="center"/>
            </w:pPr>
          </w:p>
        </w:tc>
        <w:tc>
          <w:tcPr>
            <w:tcW w:w="832" w:type="dxa"/>
          </w:tcPr>
          <w:p w14:paraId="3C2EEDE4">
            <w:pPr>
              <w:tabs>
                <w:tab w:val="left" w:pos="600"/>
              </w:tabs>
              <w:spacing w:line="360" w:lineRule="auto"/>
              <w:jc w:val="center"/>
            </w:pPr>
          </w:p>
        </w:tc>
        <w:tc>
          <w:tcPr>
            <w:tcW w:w="997" w:type="dxa"/>
          </w:tcPr>
          <w:p w14:paraId="6F691E0A">
            <w:pPr>
              <w:tabs>
                <w:tab w:val="left" w:pos="600"/>
              </w:tabs>
              <w:spacing w:line="360" w:lineRule="auto"/>
              <w:jc w:val="center"/>
            </w:pPr>
          </w:p>
        </w:tc>
        <w:tc>
          <w:tcPr>
            <w:tcW w:w="831" w:type="dxa"/>
          </w:tcPr>
          <w:p w14:paraId="2EB25A26">
            <w:pPr>
              <w:tabs>
                <w:tab w:val="left" w:pos="600"/>
              </w:tabs>
              <w:spacing w:line="360" w:lineRule="auto"/>
              <w:jc w:val="center"/>
            </w:pPr>
          </w:p>
        </w:tc>
        <w:tc>
          <w:tcPr>
            <w:tcW w:w="831" w:type="dxa"/>
          </w:tcPr>
          <w:p w14:paraId="0B3928AB">
            <w:pPr>
              <w:tabs>
                <w:tab w:val="left" w:pos="600"/>
              </w:tabs>
              <w:spacing w:line="360" w:lineRule="auto"/>
              <w:jc w:val="center"/>
            </w:pPr>
          </w:p>
        </w:tc>
        <w:tc>
          <w:tcPr>
            <w:tcW w:w="997" w:type="dxa"/>
          </w:tcPr>
          <w:p w14:paraId="2AD9D8D3">
            <w:pPr>
              <w:tabs>
                <w:tab w:val="left" w:pos="600"/>
              </w:tabs>
              <w:spacing w:line="360" w:lineRule="auto"/>
              <w:jc w:val="center"/>
            </w:pPr>
          </w:p>
        </w:tc>
        <w:tc>
          <w:tcPr>
            <w:tcW w:w="1097" w:type="dxa"/>
          </w:tcPr>
          <w:p w14:paraId="025FF30B">
            <w:pPr>
              <w:tabs>
                <w:tab w:val="left" w:pos="600"/>
              </w:tabs>
              <w:spacing w:line="360" w:lineRule="auto"/>
              <w:jc w:val="center"/>
            </w:pPr>
          </w:p>
        </w:tc>
        <w:tc>
          <w:tcPr>
            <w:tcW w:w="764" w:type="dxa"/>
          </w:tcPr>
          <w:p w14:paraId="35FB9F0D">
            <w:pPr>
              <w:tabs>
                <w:tab w:val="left" w:pos="600"/>
              </w:tabs>
              <w:spacing w:line="360" w:lineRule="auto"/>
              <w:jc w:val="center"/>
            </w:pPr>
          </w:p>
        </w:tc>
      </w:tr>
      <w:tr w14:paraId="06E66EE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664" w:type="dxa"/>
          </w:tcPr>
          <w:p w14:paraId="65EC1BF5">
            <w:pPr>
              <w:tabs>
                <w:tab w:val="left" w:pos="600"/>
              </w:tabs>
              <w:spacing w:line="360" w:lineRule="auto"/>
              <w:jc w:val="center"/>
            </w:pPr>
          </w:p>
        </w:tc>
        <w:tc>
          <w:tcPr>
            <w:tcW w:w="998" w:type="dxa"/>
          </w:tcPr>
          <w:p w14:paraId="2DF96A69">
            <w:pPr>
              <w:tabs>
                <w:tab w:val="left" w:pos="600"/>
              </w:tabs>
              <w:spacing w:line="360" w:lineRule="auto"/>
              <w:jc w:val="center"/>
            </w:pPr>
          </w:p>
        </w:tc>
        <w:tc>
          <w:tcPr>
            <w:tcW w:w="832" w:type="dxa"/>
          </w:tcPr>
          <w:p w14:paraId="547400E8">
            <w:pPr>
              <w:tabs>
                <w:tab w:val="left" w:pos="600"/>
              </w:tabs>
              <w:spacing w:line="360" w:lineRule="auto"/>
              <w:jc w:val="center"/>
            </w:pPr>
          </w:p>
        </w:tc>
        <w:tc>
          <w:tcPr>
            <w:tcW w:w="832" w:type="dxa"/>
          </w:tcPr>
          <w:p w14:paraId="0153980E">
            <w:pPr>
              <w:tabs>
                <w:tab w:val="left" w:pos="600"/>
              </w:tabs>
              <w:spacing w:line="360" w:lineRule="auto"/>
              <w:jc w:val="center"/>
            </w:pPr>
          </w:p>
        </w:tc>
        <w:tc>
          <w:tcPr>
            <w:tcW w:w="997" w:type="dxa"/>
          </w:tcPr>
          <w:p w14:paraId="7EFD0768">
            <w:pPr>
              <w:tabs>
                <w:tab w:val="left" w:pos="600"/>
              </w:tabs>
              <w:spacing w:line="360" w:lineRule="auto"/>
              <w:jc w:val="center"/>
            </w:pPr>
          </w:p>
        </w:tc>
        <w:tc>
          <w:tcPr>
            <w:tcW w:w="831" w:type="dxa"/>
          </w:tcPr>
          <w:p w14:paraId="4C121512">
            <w:pPr>
              <w:tabs>
                <w:tab w:val="left" w:pos="600"/>
              </w:tabs>
              <w:spacing w:line="360" w:lineRule="auto"/>
              <w:jc w:val="center"/>
            </w:pPr>
          </w:p>
        </w:tc>
        <w:tc>
          <w:tcPr>
            <w:tcW w:w="831" w:type="dxa"/>
          </w:tcPr>
          <w:p w14:paraId="6CBF3551">
            <w:pPr>
              <w:tabs>
                <w:tab w:val="left" w:pos="600"/>
              </w:tabs>
              <w:spacing w:line="360" w:lineRule="auto"/>
              <w:jc w:val="center"/>
            </w:pPr>
          </w:p>
        </w:tc>
        <w:tc>
          <w:tcPr>
            <w:tcW w:w="997" w:type="dxa"/>
          </w:tcPr>
          <w:p w14:paraId="7E6D6633">
            <w:pPr>
              <w:tabs>
                <w:tab w:val="left" w:pos="600"/>
              </w:tabs>
              <w:spacing w:line="360" w:lineRule="auto"/>
              <w:jc w:val="center"/>
            </w:pPr>
          </w:p>
        </w:tc>
        <w:tc>
          <w:tcPr>
            <w:tcW w:w="1097" w:type="dxa"/>
          </w:tcPr>
          <w:p w14:paraId="45F6A372">
            <w:pPr>
              <w:tabs>
                <w:tab w:val="left" w:pos="600"/>
              </w:tabs>
              <w:spacing w:line="360" w:lineRule="auto"/>
              <w:jc w:val="center"/>
            </w:pPr>
          </w:p>
        </w:tc>
        <w:tc>
          <w:tcPr>
            <w:tcW w:w="764" w:type="dxa"/>
          </w:tcPr>
          <w:p w14:paraId="21E91C11">
            <w:pPr>
              <w:tabs>
                <w:tab w:val="left" w:pos="600"/>
              </w:tabs>
              <w:spacing w:line="360" w:lineRule="auto"/>
              <w:jc w:val="center"/>
            </w:pPr>
          </w:p>
        </w:tc>
      </w:tr>
      <w:tr w14:paraId="7A762CC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664" w:type="dxa"/>
          </w:tcPr>
          <w:p w14:paraId="513851C7">
            <w:pPr>
              <w:tabs>
                <w:tab w:val="left" w:pos="600"/>
              </w:tabs>
              <w:spacing w:line="360" w:lineRule="auto"/>
              <w:jc w:val="center"/>
            </w:pPr>
          </w:p>
        </w:tc>
        <w:tc>
          <w:tcPr>
            <w:tcW w:w="998" w:type="dxa"/>
          </w:tcPr>
          <w:p w14:paraId="78A6274A">
            <w:pPr>
              <w:tabs>
                <w:tab w:val="left" w:pos="600"/>
              </w:tabs>
              <w:spacing w:line="360" w:lineRule="auto"/>
              <w:jc w:val="center"/>
            </w:pPr>
          </w:p>
        </w:tc>
        <w:tc>
          <w:tcPr>
            <w:tcW w:w="832" w:type="dxa"/>
          </w:tcPr>
          <w:p w14:paraId="193E4695">
            <w:pPr>
              <w:tabs>
                <w:tab w:val="left" w:pos="600"/>
              </w:tabs>
              <w:spacing w:line="360" w:lineRule="auto"/>
              <w:jc w:val="center"/>
            </w:pPr>
          </w:p>
        </w:tc>
        <w:tc>
          <w:tcPr>
            <w:tcW w:w="832" w:type="dxa"/>
          </w:tcPr>
          <w:p w14:paraId="05268FFC">
            <w:pPr>
              <w:tabs>
                <w:tab w:val="left" w:pos="600"/>
              </w:tabs>
              <w:spacing w:line="360" w:lineRule="auto"/>
              <w:jc w:val="center"/>
            </w:pPr>
          </w:p>
        </w:tc>
        <w:tc>
          <w:tcPr>
            <w:tcW w:w="997" w:type="dxa"/>
          </w:tcPr>
          <w:p w14:paraId="336E5F75">
            <w:pPr>
              <w:tabs>
                <w:tab w:val="left" w:pos="600"/>
              </w:tabs>
              <w:spacing w:line="360" w:lineRule="auto"/>
              <w:jc w:val="center"/>
            </w:pPr>
          </w:p>
        </w:tc>
        <w:tc>
          <w:tcPr>
            <w:tcW w:w="831" w:type="dxa"/>
          </w:tcPr>
          <w:p w14:paraId="2C50EC17">
            <w:pPr>
              <w:tabs>
                <w:tab w:val="left" w:pos="600"/>
              </w:tabs>
              <w:spacing w:line="360" w:lineRule="auto"/>
              <w:jc w:val="center"/>
            </w:pPr>
          </w:p>
        </w:tc>
        <w:tc>
          <w:tcPr>
            <w:tcW w:w="831" w:type="dxa"/>
          </w:tcPr>
          <w:p w14:paraId="377DE701">
            <w:pPr>
              <w:tabs>
                <w:tab w:val="left" w:pos="600"/>
              </w:tabs>
              <w:spacing w:line="360" w:lineRule="auto"/>
              <w:jc w:val="center"/>
            </w:pPr>
          </w:p>
        </w:tc>
        <w:tc>
          <w:tcPr>
            <w:tcW w:w="997" w:type="dxa"/>
          </w:tcPr>
          <w:p w14:paraId="7413D120">
            <w:pPr>
              <w:tabs>
                <w:tab w:val="left" w:pos="600"/>
              </w:tabs>
              <w:spacing w:line="360" w:lineRule="auto"/>
              <w:jc w:val="center"/>
            </w:pPr>
          </w:p>
        </w:tc>
        <w:tc>
          <w:tcPr>
            <w:tcW w:w="1097" w:type="dxa"/>
          </w:tcPr>
          <w:p w14:paraId="374AA892">
            <w:pPr>
              <w:tabs>
                <w:tab w:val="left" w:pos="600"/>
              </w:tabs>
              <w:spacing w:line="360" w:lineRule="auto"/>
              <w:jc w:val="center"/>
            </w:pPr>
          </w:p>
        </w:tc>
        <w:tc>
          <w:tcPr>
            <w:tcW w:w="764" w:type="dxa"/>
          </w:tcPr>
          <w:p w14:paraId="4631AAE7">
            <w:pPr>
              <w:tabs>
                <w:tab w:val="left" w:pos="600"/>
              </w:tabs>
              <w:spacing w:line="360" w:lineRule="auto"/>
              <w:jc w:val="center"/>
            </w:pPr>
          </w:p>
        </w:tc>
      </w:tr>
    </w:tbl>
    <w:p w14:paraId="22A14F86">
      <w:pPr>
        <w:spacing w:before="156" w:beforeLines="50" w:after="156" w:afterLines="50"/>
      </w:pPr>
    </w:p>
    <w:p w14:paraId="21749130">
      <w:pPr>
        <w:widowControl/>
        <w:autoSpaceDE w:val="0"/>
        <w:autoSpaceDN w:val="0"/>
        <w:snapToGrid w:val="0"/>
        <w:spacing w:line="360" w:lineRule="auto"/>
        <w:textAlignment w:val="bottom"/>
      </w:pPr>
      <w:r>
        <w:rPr>
          <w:rFonts w:hint="eastAsia"/>
        </w:rPr>
        <w:t>说明：</w:t>
      </w:r>
    </w:p>
    <w:p w14:paraId="0FF2992F">
      <w:pPr>
        <w:spacing w:line="360" w:lineRule="auto"/>
        <w:ind w:left="420"/>
        <w:rPr>
          <w:rFonts w:hint="eastAsia" w:asciiTheme="minorEastAsia" w:hAnsiTheme="minorEastAsia" w:eastAsiaTheme="minorEastAsia" w:cstheme="minorEastAsia"/>
        </w:rPr>
      </w:pPr>
      <w:r>
        <w:rPr>
          <w:rFonts w:hint="eastAsia" w:asciiTheme="minorEastAsia" w:hAnsiTheme="minorEastAsia" w:eastAsiaTheme="minorEastAsia" w:cstheme="minorEastAsia"/>
        </w:rPr>
        <w:t>1. 投标人应在投标文件中按附表要求提供设备各大件的运输尺寸（长×宽×高）、重量，并附运输外形尺寸图及其重心位置。</w:t>
      </w:r>
    </w:p>
    <w:p w14:paraId="68EB6322">
      <w:pPr>
        <w:spacing w:line="360" w:lineRule="auto"/>
        <w:ind w:left="420"/>
        <w:rPr>
          <w:rFonts w:hint="eastAsia" w:asciiTheme="minorEastAsia" w:hAnsiTheme="minorEastAsia" w:eastAsiaTheme="minorEastAsia" w:cstheme="minorEastAsia"/>
        </w:rPr>
      </w:pPr>
      <w:r>
        <w:rPr>
          <w:rFonts w:hint="eastAsia" w:asciiTheme="minorEastAsia" w:hAnsiTheme="minorEastAsia" w:eastAsiaTheme="minorEastAsia" w:cstheme="minorEastAsia"/>
        </w:rPr>
        <w:t>2. 设备运输尺寸，指设备包装后的各部分尺寸。</w:t>
      </w:r>
    </w:p>
    <w:p w14:paraId="2946FEFF">
      <w:pPr>
        <w:spacing w:line="360" w:lineRule="auto"/>
        <w:ind w:left="420"/>
        <w:rPr>
          <w:rFonts w:hint="eastAsia" w:asciiTheme="minorEastAsia" w:hAnsiTheme="minorEastAsia" w:eastAsiaTheme="minorEastAsia" w:cstheme="minorEastAsia"/>
        </w:rPr>
      </w:pPr>
      <w:r>
        <w:rPr>
          <w:rFonts w:hint="eastAsia" w:asciiTheme="minorEastAsia" w:hAnsiTheme="minorEastAsia" w:eastAsiaTheme="minorEastAsia" w:cstheme="minorEastAsia"/>
        </w:rPr>
        <w:t>3. 当采用铁路运输时，设备的运输外形尺寸，应考虑该设备拟采用的运输车辆装载面至轨面的高度要求。</w:t>
      </w:r>
    </w:p>
    <w:p w14:paraId="23B148D7">
      <w:pPr>
        <w:spacing w:line="360" w:lineRule="auto"/>
        <w:ind w:left="420"/>
        <w:rPr>
          <w:rFonts w:hint="eastAsia" w:asciiTheme="minorEastAsia" w:hAnsiTheme="minorEastAsia" w:eastAsiaTheme="minorEastAsia" w:cstheme="minorEastAsia"/>
        </w:rPr>
      </w:pPr>
      <w:r>
        <w:rPr>
          <w:rFonts w:hint="eastAsia" w:asciiTheme="minorEastAsia" w:hAnsiTheme="minorEastAsia" w:eastAsiaTheme="minorEastAsia" w:cstheme="minorEastAsia"/>
        </w:rPr>
        <w:t>4. 投标人应根据大件运输的线路及运输方式，对沿途中所经过的涵洞、桥梁等构、建筑物进行充分的调查和论证，在投标文件中提出大件运输的方案，确保设备大件安全运至现场。</w:t>
      </w:r>
    </w:p>
    <w:p w14:paraId="63442F87">
      <w:pPr>
        <w:adjustRightInd/>
        <w:spacing w:line="360" w:lineRule="auto"/>
        <w:ind w:left="420"/>
        <w:rPr>
          <w:rFonts w:hint="eastAsia" w:asciiTheme="minorEastAsia" w:hAnsiTheme="minorEastAsia" w:eastAsiaTheme="minorEastAsia" w:cstheme="minorEastAsia"/>
        </w:rPr>
      </w:pPr>
      <w:r>
        <w:rPr>
          <w:rFonts w:hint="eastAsia" w:asciiTheme="minorEastAsia" w:hAnsiTheme="minorEastAsia" w:eastAsiaTheme="minorEastAsia" w:cstheme="minorEastAsia"/>
        </w:rPr>
        <w:t>5. 投标人还应在投标文件中说明所有其它设备的运输方案，包括车辆型号、数量、运输路线等。</w:t>
      </w:r>
    </w:p>
    <w:p w14:paraId="49E03C90">
      <w:pPr>
        <w:spacing w:line="500" w:lineRule="atLeast"/>
        <w:ind w:firstLine="48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6. 当投标人设备的运输尺寸超出上述给定的铁路运输界限规定的界限要求时，投标人应承担由于采取必要措施进行运输而发生的费用。</w:t>
      </w:r>
    </w:p>
    <w:p w14:paraId="3A803715"/>
    <w:p w14:paraId="63CDE124">
      <w:pPr>
        <w:pStyle w:val="2"/>
        <w:keepLines w:val="0"/>
        <w:spacing w:before="60" w:after="60" w:line="240" w:lineRule="atLeast"/>
        <w:jc w:val="left"/>
        <w:rPr>
          <w:rFonts w:hint="eastAsia" w:asciiTheme="minorEastAsia" w:hAnsiTheme="minorEastAsia" w:eastAsiaTheme="minorEastAsia"/>
          <w:kern w:val="0"/>
          <w:sz w:val="28"/>
        </w:rPr>
      </w:pPr>
      <w:r>
        <w:br w:type="page"/>
      </w:r>
      <w:bookmarkStart w:id="74" w:name="_Toc32599"/>
      <w:r>
        <w:rPr>
          <w:rFonts w:asciiTheme="minorEastAsia" w:hAnsiTheme="minorEastAsia" w:eastAsiaTheme="minorEastAsia"/>
          <w:kern w:val="0"/>
          <w:sz w:val="28"/>
        </w:rPr>
        <w:t>附件10  技术差异表</w:t>
      </w:r>
      <w:bookmarkEnd w:id="74"/>
    </w:p>
    <w:p w14:paraId="6C430AFA">
      <w:pPr>
        <w:spacing w:line="360" w:lineRule="auto"/>
        <w:ind w:firstLine="420"/>
        <w:rPr>
          <w:rFonts w:hint="eastAsia" w:asciiTheme="minorEastAsia" w:hAnsiTheme="minorEastAsia" w:eastAsiaTheme="minorEastAsia"/>
        </w:rPr>
      </w:pPr>
      <w:r>
        <w:rPr>
          <w:rFonts w:hint="eastAsia" w:asciiTheme="minorEastAsia" w:hAnsiTheme="minorEastAsia" w:eastAsiaTheme="minorEastAsia"/>
          <w:szCs w:val="24"/>
        </w:rPr>
        <w:t>投标人要将投标文件和招标文件的差异之处汇集成表。技术部分和商务部分要单独列表。</w:t>
      </w:r>
    </w:p>
    <w:p w14:paraId="6308FE0C">
      <w:pPr>
        <w:spacing w:line="360" w:lineRule="auto"/>
        <w:jc w:val="center"/>
        <w:rPr>
          <w:rFonts w:hint="eastAsia" w:asciiTheme="minorEastAsia" w:hAnsiTheme="minorEastAsia" w:eastAsiaTheme="minorEastAsia"/>
          <w:szCs w:val="24"/>
        </w:rPr>
      </w:pPr>
      <w:r>
        <w:rPr>
          <w:rFonts w:hint="eastAsia" w:asciiTheme="minorEastAsia" w:hAnsiTheme="minorEastAsia" w:eastAsiaTheme="minorEastAsia"/>
          <w:szCs w:val="24"/>
        </w:rPr>
        <w:t>差异表</w:t>
      </w:r>
    </w:p>
    <w:tbl>
      <w:tblPr>
        <w:tblStyle w:val="42"/>
        <w:tblW w:w="9127" w:type="dxa"/>
        <w:tblInd w:w="0" w:type="dxa"/>
        <w:tblLayout w:type="fixed"/>
        <w:tblCellMar>
          <w:top w:w="0" w:type="dxa"/>
          <w:left w:w="28" w:type="dxa"/>
          <w:bottom w:w="0" w:type="dxa"/>
          <w:right w:w="28" w:type="dxa"/>
        </w:tblCellMar>
      </w:tblPr>
      <w:tblGrid>
        <w:gridCol w:w="887"/>
        <w:gridCol w:w="1019"/>
        <w:gridCol w:w="3163"/>
        <w:gridCol w:w="1015"/>
        <w:gridCol w:w="3043"/>
      </w:tblGrid>
      <w:tr w14:paraId="3DFA058A">
        <w:tblPrEx>
          <w:tblCellMar>
            <w:top w:w="0" w:type="dxa"/>
            <w:left w:w="28" w:type="dxa"/>
            <w:bottom w:w="0" w:type="dxa"/>
            <w:right w:w="28" w:type="dxa"/>
          </w:tblCellMar>
        </w:tblPrEx>
        <w:tc>
          <w:tcPr>
            <w:tcW w:w="887" w:type="dxa"/>
            <w:tcBorders>
              <w:top w:val="single" w:color="auto" w:sz="6" w:space="0"/>
              <w:left w:val="single" w:color="auto" w:sz="6" w:space="0"/>
              <w:right w:val="single" w:color="auto" w:sz="6" w:space="0"/>
            </w:tcBorders>
          </w:tcPr>
          <w:p w14:paraId="6B06FB7B">
            <w:pPr>
              <w:rPr>
                <w:rFonts w:hint="eastAsia" w:asciiTheme="minorEastAsia" w:hAnsiTheme="minorEastAsia" w:eastAsiaTheme="minorEastAsia"/>
                <w:szCs w:val="24"/>
              </w:rPr>
            </w:pPr>
          </w:p>
        </w:tc>
        <w:tc>
          <w:tcPr>
            <w:tcW w:w="1019" w:type="dxa"/>
            <w:tcBorders>
              <w:top w:val="single" w:color="auto" w:sz="6" w:space="0"/>
              <w:left w:val="nil"/>
            </w:tcBorders>
          </w:tcPr>
          <w:p w14:paraId="05EA97D2">
            <w:pPr>
              <w:rPr>
                <w:rFonts w:hint="eastAsia" w:asciiTheme="minorEastAsia" w:hAnsiTheme="minorEastAsia" w:eastAsiaTheme="minorEastAsia"/>
                <w:szCs w:val="24"/>
              </w:rPr>
            </w:pPr>
          </w:p>
        </w:tc>
        <w:tc>
          <w:tcPr>
            <w:tcW w:w="3163" w:type="dxa"/>
            <w:tcBorders>
              <w:top w:val="single" w:color="auto" w:sz="6" w:space="0"/>
              <w:right w:val="single" w:color="auto" w:sz="6" w:space="0"/>
            </w:tcBorders>
          </w:tcPr>
          <w:p w14:paraId="13CF09C4">
            <w:pPr>
              <w:rPr>
                <w:rFonts w:hint="eastAsia" w:asciiTheme="minorEastAsia" w:hAnsiTheme="minorEastAsia" w:eastAsiaTheme="minorEastAsia"/>
                <w:szCs w:val="24"/>
              </w:rPr>
            </w:pPr>
            <w:r>
              <w:rPr>
                <w:rFonts w:hint="eastAsia" w:asciiTheme="minorEastAsia" w:hAnsiTheme="minorEastAsia" w:eastAsiaTheme="minorEastAsia"/>
                <w:szCs w:val="24"/>
              </w:rPr>
              <w:t>招标文件</w:t>
            </w:r>
          </w:p>
        </w:tc>
        <w:tc>
          <w:tcPr>
            <w:tcW w:w="1015" w:type="dxa"/>
            <w:tcBorders>
              <w:top w:val="single" w:color="auto" w:sz="6" w:space="0"/>
              <w:left w:val="nil"/>
            </w:tcBorders>
          </w:tcPr>
          <w:p w14:paraId="08B659B5">
            <w:pPr>
              <w:rPr>
                <w:rFonts w:hint="eastAsia" w:asciiTheme="minorEastAsia" w:hAnsiTheme="minorEastAsia" w:eastAsiaTheme="minorEastAsia"/>
                <w:szCs w:val="24"/>
              </w:rPr>
            </w:pPr>
          </w:p>
        </w:tc>
        <w:tc>
          <w:tcPr>
            <w:tcW w:w="3043" w:type="dxa"/>
            <w:tcBorders>
              <w:top w:val="single" w:color="auto" w:sz="6" w:space="0"/>
              <w:right w:val="single" w:color="auto" w:sz="6" w:space="0"/>
            </w:tcBorders>
          </w:tcPr>
          <w:p w14:paraId="569C1C64">
            <w:pPr>
              <w:rPr>
                <w:rFonts w:hint="eastAsia" w:asciiTheme="minorEastAsia" w:hAnsiTheme="minorEastAsia" w:eastAsiaTheme="minorEastAsia"/>
                <w:szCs w:val="24"/>
              </w:rPr>
            </w:pPr>
            <w:r>
              <w:rPr>
                <w:rFonts w:hint="eastAsia" w:asciiTheme="minorEastAsia" w:hAnsiTheme="minorEastAsia" w:eastAsiaTheme="minorEastAsia"/>
                <w:szCs w:val="24"/>
              </w:rPr>
              <w:t>投标文件</w:t>
            </w:r>
          </w:p>
        </w:tc>
      </w:tr>
      <w:tr w14:paraId="61FCF565">
        <w:tblPrEx>
          <w:tblCellMar>
            <w:top w:w="0" w:type="dxa"/>
            <w:left w:w="28" w:type="dxa"/>
            <w:bottom w:w="0" w:type="dxa"/>
            <w:right w:w="28" w:type="dxa"/>
          </w:tblCellMar>
        </w:tblPrEx>
        <w:tc>
          <w:tcPr>
            <w:tcW w:w="887" w:type="dxa"/>
            <w:tcBorders>
              <w:left w:val="single" w:color="auto" w:sz="6" w:space="0"/>
              <w:right w:val="single" w:color="auto" w:sz="6" w:space="0"/>
            </w:tcBorders>
          </w:tcPr>
          <w:p w14:paraId="3BB35779">
            <w:pPr>
              <w:rPr>
                <w:rFonts w:hint="eastAsia" w:asciiTheme="minorEastAsia" w:hAnsiTheme="minorEastAsia" w:eastAsiaTheme="minorEastAsia"/>
                <w:szCs w:val="24"/>
              </w:rPr>
            </w:pPr>
            <w:r>
              <w:rPr>
                <w:rFonts w:hint="eastAsia" w:asciiTheme="minorEastAsia" w:hAnsiTheme="minorEastAsia" w:eastAsiaTheme="minorEastAsia"/>
                <w:szCs w:val="24"/>
              </w:rPr>
              <w:t>序号</w:t>
            </w:r>
          </w:p>
        </w:tc>
        <w:tc>
          <w:tcPr>
            <w:tcW w:w="1019" w:type="dxa"/>
            <w:tcBorders>
              <w:top w:val="single" w:color="auto" w:sz="6" w:space="0"/>
              <w:left w:val="nil"/>
              <w:right w:val="single" w:color="auto" w:sz="6" w:space="0"/>
            </w:tcBorders>
          </w:tcPr>
          <w:p w14:paraId="6A2F9CB7">
            <w:pPr>
              <w:rPr>
                <w:rFonts w:hint="eastAsia" w:asciiTheme="minorEastAsia" w:hAnsiTheme="minorEastAsia" w:eastAsiaTheme="minorEastAsia"/>
                <w:szCs w:val="24"/>
              </w:rPr>
            </w:pPr>
            <w:r>
              <w:rPr>
                <w:rFonts w:hint="eastAsia" w:asciiTheme="minorEastAsia" w:hAnsiTheme="minorEastAsia" w:eastAsiaTheme="minorEastAsia"/>
                <w:szCs w:val="24"/>
              </w:rPr>
              <w:t>条目</w:t>
            </w:r>
          </w:p>
        </w:tc>
        <w:tc>
          <w:tcPr>
            <w:tcW w:w="3163" w:type="dxa"/>
            <w:tcBorders>
              <w:top w:val="single" w:color="auto" w:sz="6" w:space="0"/>
              <w:left w:val="nil"/>
              <w:right w:val="single" w:color="auto" w:sz="6" w:space="0"/>
            </w:tcBorders>
          </w:tcPr>
          <w:p w14:paraId="3F9BF791">
            <w:pPr>
              <w:rPr>
                <w:rFonts w:hint="eastAsia" w:asciiTheme="minorEastAsia" w:hAnsiTheme="minorEastAsia" w:eastAsiaTheme="minorEastAsia"/>
                <w:szCs w:val="24"/>
              </w:rPr>
            </w:pPr>
            <w:r>
              <w:rPr>
                <w:rFonts w:hint="eastAsia" w:asciiTheme="minorEastAsia" w:hAnsiTheme="minorEastAsia" w:eastAsiaTheme="minorEastAsia"/>
                <w:szCs w:val="24"/>
              </w:rPr>
              <w:t>简要内容</w:t>
            </w:r>
          </w:p>
        </w:tc>
        <w:tc>
          <w:tcPr>
            <w:tcW w:w="1015" w:type="dxa"/>
            <w:tcBorders>
              <w:top w:val="single" w:color="auto" w:sz="6" w:space="0"/>
              <w:left w:val="nil"/>
              <w:right w:val="single" w:color="auto" w:sz="6" w:space="0"/>
            </w:tcBorders>
          </w:tcPr>
          <w:p w14:paraId="5D753C68">
            <w:pPr>
              <w:rPr>
                <w:rFonts w:hint="eastAsia" w:asciiTheme="minorEastAsia" w:hAnsiTheme="minorEastAsia" w:eastAsiaTheme="minorEastAsia"/>
                <w:szCs w:val="24"/>
              </w:rPr>
            </w:pPr>
            <w:r>
              <w:rPr>
                <w:rFonts w:hint="eastAsia" w:asciiTheme="minorEastAsia" w:hAnsiTheme="minorEastAsia" w:eastAsiaTheme="minorEastAsia"/>
                <w:szCs w:val="24"/>
              </w:rPr>
              <w:t>条目</w:t>
            </w:r>
          </w:p>
        </w:tc>
        <w:tc>
          <w:tcPr>
            <w:tcW w:w="3043" w:type="dxa"/>
            <w:tcBorders>
              <w:top w:val="single" w:color="auto" w:sz="6" w:space="0"/>
              <w:left w:val="nil"/>
              <w:right w:val="single" w:color="auto" w:sz="6" w:space="0"/>
            </w:tcBorders>
          </w:tcPr>
          <w:p w14:paraId="759B4D9A">
            <w:pPr>
              <w:rPr>
                <w:rFonts w:hint="eastAsia" w:asciiTheme="minorEastAsia" w:hAnsiTheme="minorEastAsia" w:eastAsiaTheme="minorEastAsia"/>
                <w:szCs w:val="24"/>
              </w:rPr>
            </w:pPr>
            <w:r>
              <w:rPr>
                <w:rFonts w:hint="eastAsia" w:asciiTheme="minorEastAsia" w:hAnsiTheme="minorEastAsia" w:eastAsiaTheme="minorEastAsia"/>
                <w:szCs w:val="24"/>
              </w:rPr>
              <w:t>简要内容</w:t>
            </w:r>
          </w:p>
        </w:tc>
      </w:tr>
      <w:tr w14:paraId="1D10C5CF">
        <w:tblPrEx>
          <w:tblCellMar>
            <w:top w:w="0" w:type="dxa"/>
            <w:left w:w="28" w:type="dxa"/>
            <w:bottom w:w="0" w:type="dxa"/>
            <w:right w:w="28" w:type="dxa"/>
          </w:tblCellMar>
        </w:tblPrEx>
        <w:tc>
          <w:tcPr>
            <w:tcW w:w="887" w:type="dxa"/>
            <w:tcBorders>
              <w:top w:val="single" w:color="auto" w:sz="6" w:space="0"/>
              <w:left w:val="single" w:color="auto" w:sz="6" w:space="0"/>
              <w:bottom w:val="single" w:color="auto" w:sz="6" w:space="0"/>
            </w:tcBorders>
          </w:tcPr>
          <w:p w14:paraId="405F059F">
            <w:pPr>
              <w:rPr>
                <w:rFonts w:hint="eastAsia" w:asciiTheme="minorEastAsia" w:hAnsiTheme="minorEastAsia" w:eastAsiaTheme="minorEastAsia"/>
                <w:szCs w:val="24"/>
              </w:rPr>
            </w:pPr>
          </w:p>
        </w:tc>
        <w:tc>
          <w:tcPr>
            <w:tcW w:w="1019" w:type="dxa"/>
            <w:tcBorders>
              <w:top w:val="single" w:color="auto" w:sz="6" w:space="0"/>
              <w:left w:val="single" w:color="auto" w:sz="6" w:space="0"/>
              <w:bottom w:val="single" w:color="auto" w:sz="6" w:space="0"/>
              <w:right w:val="single" w:color="auto" w:sz="6" w:space="0"/>
            </w:tcBorders>
          </w:tcPr>
          <w:p w14:paraId="18678E1D">
            <w:pPr>
              <w:rPr>
                <w:rFonts w:hint="eastAsia" w:asciiTheme="minorEastAsia" w:hAnsiTheme="minorEastAsia" w:eastAsiaTheme="minorEastAsia"/>
                <w:szCs w:val="24"/>
              </w:rPr>
            </w:pPr>
          </w:p>
        </w:tc>
        <w:tc>
          <w:tcPr>
            <w:tcW w:w="3163" w:type="dxa"/>
            <w:tcBorders>
              <w:top w:val="single" w:color="auto" w:sz="6" w:space="0"/>
              <w:left w:val="nil"/>
              <w:bottom w:val="single" w:color="auto" w:sz="6" w:space="0"/>
            </w:tcBorders>
          </w:tcPr>
          <w:p w14:paraId="57C3B0D8">
            <w:pPr>
              <w:rPr>
                <w:rFonts w:hint="eastAsia" w:asciiTheme="minorEastAsia" w:hAnsiTheme="minorEastAsia" w:eastAsiaTheme="minorEastAsia"/>
                <w:szCs w:val="24"/>
              </w:rPr>
            </w:pPr>
          </w:p>
        </w:tc>
        <w:tc>
          <w:tcPr>
            <w:tcW w:w="1015" w:type="dxa"/>
            <w:tcBorders>
              <w:top w:val="single" w:color="auto" w:sz="6" w:space="0"/>
              <w:left w:val="single" w:color="auto" w:sz="6" w:space="0"/>
              <w:bottom w:val="single" w:color="auto" w:sz="6" w:space="0"/>
              <w:right w:val="single" w:color="auto" w:sz="6" w:space="0"/>
            </w:tcBorders>
          </w:tcPr>
          <w:p w14:paraId="09644529">
            <w:pPr>
              <w:rPr>
                <w:rFonts w:hint="eastAsia" w:asciiTheme="minorEastAsia" w:hAnsiTheme="minorEastAsia" w:eastAsiaTheme="minorEastAsia"/>
                <w:szCs w:val="24"/>
              </w:rPr>
            </w:pPr>
          </w:p>
        </w:tc>
        <w:tc>
          <w:tcPr>
            <w:tcW w:w="3043" w:type="dxa"/>
            <w:tcBorders>
              <w:top w:val="single" w:color="auto" w:sz="6" w:space="0"/>
              <w:left w:val="nil"/>
              <w:bottom w:val="single" w:color="auto" w:sz="6" w:space="0"/>
              <w:right w:val="single" w:color="auto" w:sz="6" w:space="0"/>
            </w:tcBorders>
          </w:tcPr>
          <w:p w14:paraId="66BDDE94">
            <w:pPr>
              <w:rPr>
                <w:rFonts w:hint="eastAsia" w:asciiTheme="minorEastAsia" w:hAnsiTheme="minorEastAsia" w:eastAsiaTheme="minorEastAsia"/>
                <w:szCs w:val="24"/>
              </w:rPr>
            </w:pPr>
          </w:p>
        </w:tc>
      </w:tr>
      <w:tr w14:paraId="103D1E17">
        <w:tblPrEx>
          <w:tblCellMar>
            <w:top w:w="0" w:type="dxa"/>
            <w:left w:w="28" w:type="dxa"/>
            <w:bottom w:w="0" w:type="dxa"/>
            <w:right w:w="28" w:type="dxa"/>
          </w:tblCellMar>
        </w:tblPrEx>
        <w:tc>
          <w:tcPr>
            <w:tcW w:w="887" w:type="dxa"/>
            <w:tcBorders>
              <w:top w:val="single" w:color="auto" w:sz="6" w:space="0"/>
              <w:left w:val="single" w:color="auto" w:sz="6" w:space="0"/>
              <w:bottom w:val="single" w:color="auto" w:sz="6" w:space="0"/>
            </w:tcBorders>
          </w:tcPr>
          <w:p w14:paraId="27815B36">
            <w:pPr>
              <w:rPr>
                <w:rFonts w:hint="eastAsia" w:asciiTheme="minorEastAsia" w:hAnsiTheme="minorEastAsia" w:eastAsiaTheme="minorEastAsia"/>
                <w:szCs w:val="24"/>
              </w:rPr>
            </w:pPr>
          </w:p>
        </w:tc>
        <w:tc>
          <w:tcPr>
            <w:tcW w:w="1019" w:type="dxa"/>
            <w:tcBorders>
              <w:top w:val="single" w:color="auto" w:sz="6" w:space="0"/>
              <w:left w:val="single" w:color="auto" w:sz="6" w:space="0"/>
              <w:bottom w:val="single" w:color="auto" w:sz="6" w:space="0"/>
              <w:right w:val="single" w:color="auto" w:sz="6" w:space="0"/>
            </w:tcBorders>
          </w:tcPr>
          <w:p w14:paraId="2894E542">
            <w:pPr>
              <w:rPr>
                <w:rFonts w:hint="eastAsia" w:asciiTheme="minorEastAsia" w:hAnsiTheme="minorEastAsia" w:eastAsiaTheme="minorEastAsia"/>
                <w:szCs w:val="24"/>
              </w:rPr>
            </w:pPr>
          </w:p>
        </w:tc>
        <w:tc>
          <w:tcPr>
            <w:tcW w:w="3163" w:type="dxa"/>
            <w:tcBorders>
              <w:top w:val="single" w:color="auto" w:sz="6" w:space="0"/>
              <w:left w:val="nil"/>
              <w:bottom w:val="single" w:color="auto" w:sz="6" w:space="0"/>
            </w:tcBorders>
          </w:tcPr>
          <w:p w14:paraId="732BE91E">
            <w:pPr>
              <w:rPr>
                <w:rFonts w:hint="eastAsia" w:asciiTheme="minorEastAsia" w:hAnsiTheme="minorEastAsia" w:eastAsiaTheme="minorEastAsia"/>
                <w:szCs w:val="24"/>
              </w:rPr>
            </w:pPr>
          </w:p>
        </w:tc>
        <w:tc>
          <w:tcPr>
            <w:tcW w:w="1015" w:type="dxa"/>
            <w:tcBorders>
              <w:top w:val="single" w:color="auto" w:sz="6" w:space="0"/>
              <w:left w:val="single" w:color="auto" w:sz="6" w:space="0"/>
              <w:bottom w:val="single" w:color="auto" w:sz="6" w:space="0"/>
              <w:right w:val="single" w:color="auto" w:sz="6" w:space="0"/>
            </w:tcBorders>
          </w:tcPr>
          <w:p w14:paraId="769B236C">
            <w:pPr>
              <w:rPr>
                <w:rFonts w:hint="eastAsia" w:asciiTheme="minorEastAsia" w:hAnsiTheme="minorEastAsia" w:eastAsiaTheme="minorEastAsia"/>
                <w:szCs w:val="24"/>
              </w:rPr>
            </w:pPr>
          </w:p>
        </w:tc>
        <w:tc>
          <w:tcPr>
            <w:tcW w:w="3043" w:type="dxa"/>
            <w:tcBorders>
              <w:top w:val="single" w:color="auto" w:sz="6" w:space="0"/>
              <w:left w:val="nil"/>
              <w:bottom w:val="single" w:color="auto" w:sz="6" w:space="0"/>
              <w:right w:val="single" w:color="auto" w:sz="6" w:space="0"/>
            </w:tcBorders>
          </w:tcPr>
          <w:p w14:paraId="38AAEC6F">
            <w:pPr>
              <w:rPr>
                <w:rFonts w:hint="eastAsia" w:asciiTheme="minorEastAsia" w:hAnsiTheme="minorEastAsia" w:eastAsiaTheme="minorEastAsia"/>
                <w:szCs w:val="24"/>
              </w:rPr>
            </w:pPr>
          </w:p>
        </w:tc>
      </w:tr>
      <w:tr w14:paraId="550C6E98">
        <w:tblPrEx>
          <w:tblCellMar>
            <w:top w:w="0" w:type="dxa"/>
            <w:left w:w="28" w:type="dxa"/>
            <w:bottom w:w="0" w:type="dxa"/>
            <w:right w:w="28" w:type="dxa"/>
          </w:tblCellMar>
        </w:tblPrEx>
        <w:tc>
          <w:tcPr>
            <w:tcW w:w="887" w:type="dxa"/>
            <w:tcBorders>
              <w:top w:val="single" w:color="auto" w:sz="6" w:space="0"/>
              <w:left w:val="single" w:color="auto" w:sz="6" w:space="0"/>
              <w:bottom w:val="single" w:color="auto" w:sz="6" w:space="0"/>
            </w:tcBorders>
          </w:tcPr>
          <w:p w14:paraId="13B821F0">
            <w:pPr>
              <w:rPr>
                <w:rFonts w:hint="eastAsia" w:asciiTheme="minorEastAsia" w:hAnsiTheme="minorEastAsia" w:eastAsiaTheme="minorEastAsia"/>
                <w:szCs w:val="24"/>
              </w:rPr>
            </w:pPr>
          </w:p>
        </w:tc>
        <w:tc>
          <w:tcPr>
            <w:tcW w:w="1019" w:type="dxa"/>
            <w:tcBorders>
              <w:top w:val="single" w:color="auto" w:sz="6" w:space="0"/>
              <w:left w:val="single" w:color="auto" w:sz="6" w:space="0"/>
              <w:bottom w:val="single" w:color="auto" w:sz="6" w:space="0"/>
              <w:right w:val="single" w:color="auto" w:sz="6" w:space="0"/>
            </w:tcBorders>
          </w:tcPr>
          <w:p w14:paraId="19FAB5E7">
            <w:pPr>
              <w:rPr>
                <w:rFonts w:hint="eastAsia" w:asciiTheme="minorEastAsia" w:hAnsiTheme="minorEastAsia" w:eastAsiaTheme="minorEastAsia"/>
                <w:szCs w:val="24"/>
              </w:rPr>
            </w:pPr>
          </w:p>
        </w:tc>
        <w:tc>
          <w:tcPr>
            <w:tcW w:w="3163" w:type="dxa"/>
            <w:tcBorders>
              <w:top w:val="single" w:color="auto" w:sz="6" w:space="0"/>
              <w:left w:val="nil"/>
              <w:bottom w:val="single" w:color="auto" w:sz="6" w:space="0"/>
            </w:tcBorders>
          </w:tcPr>
          <w:p w14:paraId="42211DDC">
            <w:pPr>
              <w:rPr>
                <w:rFonts w:hint="eastAsia" w:asciiTheme="minorEastAsia" w:hAnsiTheme="minorEastAsia" w:eastAsiaTheme="minorEastAsia"/>
                <w:szCs w:val="24"/>
              </w:rPr>
            </w:pPr>
          </w:p>
        </w:tc>
        <w:tc>
          <w:tcPr>
            <w:tcW w:w="1015" w:type="dxa"/>
            <w:tcBorders>
              <w:top w:val="single" w:color="auto" w:sz="6" w:space="0"/>
              <w:left w:val="single" w:color="auto" w:sz="6" w:space="0"/>
              <w:bottom w:val="single" w:color="auto" w:sz="6" w:space="0"/>
              <w:right w:val="single" w:color="auto" w:sz="6" w:space="0"/>
            </w:tcBorders>
          </w:tcPr>
          <w:p w14:paraId="0B834A94">
            <w:pPr>
              <w:rPr>
                <w:rFonts w:hint="eastAsia" w:asciiTheme="minorEastAsia" w:hAnsiTheme="minorEastAsia" w:eastAsiaTheme="minorEastAsia"/>
                <w:szCs w:val="24"/>
              </w:rPr>
            </w:pPr>
          </w:p>
        </w:tc>
        <w:tc>
          <w:tcPr>
            <w:tcW w:w="3043" w:type="dxa"/>
            <w:tcBorders>
              <w:top w:val="single" w:color="auto" w:sz="6" w:space="0"/>
              <w:left w:val="nil"/>
              <w:bottom w:val="single" w:color="auto" w:sz="6" w:space="0"/>
              <w:right w:val="single" w:color="auto" w:sz="6" w:space="0"/>
            </w:tcBorders>
          </w:tcPr>
          <w:p w14:paraId="46D0D872">
            <w:pPr>
              <w:rPr>
                <w:rFonts w:hint="eastAsia" w:asciiTheme="minorEastAsia" w:hAnsiTheme="minorEastAsia" w:eastAsiaTheme="minorEastAsia"/>
                <w:szCs w:val="24"/>
              </w:rPr>
            </w:pPr>
          </w:p>
        </w:tc>
      </w:tr>
      <w:tr w14:paraId="1CA47CBC">
        <w:tblPrEx>
          <w:tblCellMar>
            <w:top w:w="0" w:type="dxa"/>
            <w:left w:w="28" w:type="dxa"/>
            <w:bottom w:w="0" w:type="dxa"/>
            <w:right w:w="28" w:type="dxa"/>
          </w:tblCellMar>
        </w:tblPrEx>
        <w:tc>
          <w:tcPr>
            <w:tcW w:w="887" w:type="dxa"/>
            <w:tcBorders>
              <w:top w:val="single" w:color="auto" w:sz="6" w:space="0"/>
              <w:left w:val="single" w:color="auto" w:sz="6" w:space="0"/>
              <w:bottom w:val="single" w:color="auto" w:sz="6" w:space="0"/>
            </w:tcBorders>
          </w:tcPr>
          <w:p w14:paraId="58FBAD9C">
            <w:pPr>
              <w:rPr>
                <w:rFonts w:hint="eastAsia" w:asciiTheme="minorEastAsia" w:hAnsiTheme="minorEastAsia" w:eastAsiaTheme="minorEastAsia"/>
                <w:szCs w:val="24"/>
              </w:rPr>
            </w:pPr>
          </w:p>
        </w:tc>
        <w:tc>
          <w:tcPr>
            <w:tcW w:w="1019" w:type="dxa"/>
            <w:tcBorders>
              <w:top w:val="single" w:color="auto" w:sz="6" w:space="0"/>
              <w:left w:val="single" w:color="auto" w:sz="6" w:space="0"/>
              <w:bottom w:val="single" w:color="auto" w:sz="6" w:space="0"/>
              <w:right w:val="single" w:color="auto" w:sz="6" w:space="0"/>
            </w:tcBorders>
          </w:tcPr>
          <w:p w14:paraId="4A402532">
            <w:pPr>
              <w:rPr>
                <w:rFonts w:hint="eastAsia" w:asciiTheme="minorEastAsia" w:hAnsiTheme="minorEastAsia" w:eastAsiaTheme="minorEastAsia"/>
                <w:szCs w:val="24"/>
              </w:rPr>
            </w:pPr>
          </w:p>
        </w:tc>
        <w:tc>
          <w:tcPr>
            <w:tcW w:w="3163" w:type="dxa"/>
            <w:tcBorders>
              <w:top w:val="single" w:color="auto" w:sz="6" w:space="0"/>
              <w:left w:val="nil"/>
              <w:bottom w:val="single" w:color="auto" w:sz="6" w:space="0"/>
            </w:tcBorders>
          </w:tcPr>
          <w:p w14:paraId="19DFBBBE">
            <w:pPr>
              <w:rPr>
                <w:rFonts w:hint="eastAsia" w:asciiTheme="minorEastAsia" w:hAnsiTheme="minorEastAsia" w:eastAsiaTheme="minorEastAsia"/>
                <w:szCs w:val="24"/>
              </w:rPr>
            </w:pPr>
          </w:p>
        </w:tc>
        <w:tc>
          <w:tcPr>
            <w:tcW w:w="1015" w:type="dxa"/>
            <w:tcBorders>
              <w:top w:val="single" w:color="auto" w:sz="6" w:space="0"/>
              <w:left w:val="single" w:color="auto" w:sz="6" w:space="0"/>
              <w:bottom w:val="single" w:color="auto" w:sz="6" w:space="0"/>
              <w:right w:val="single" w:color="auto" w:sz="6" w:space="0"/>
            </w:tcBorders>
          </w:tcPr>
          <w:p w14:paraId="373233ED">
            <w:pPr>
              <w:rPr>
                <w:rFonts w:hint="eastAsia" w:asciiTheme="minorEastAsia" w:hAnsiTheme="minorEastAsia" w:eastAsiaTheme="minorEastAsia"/>
                <w:szCs w:val="24"/>
              </w:rPr>
            </w:pPr>
          </w:p>
        </w:tc>
        <w:tc>
          <w:tcPr>
            <w:tcW w:w="3043" w:type="dxa"/>
            <w:tcBorders>
              <w:top w:val="single" w:color="auto" w:sz="6" w:space="0"/>
              <w:left w:val="nil"/>
              <w:bottom w:val="single" w:color="auto" w:sz="6" w:space="0"/>
              <w:right w:val="single" w:color="auto" w:sz="6" w:space="0"/>
            </w:tcBorders>
          </w:tcPr>
          <w:p w14:paraId="1BFEE504">
            <w:pPr>
              <w:rPr>
                <w:rFonts w:hint="eastAsia" w:asciiTheme="minorEastAsia" w:hAnsiTheme="minorEastAsia" w:eastAsiaTheme="minorEastAsia"/>
                <w:szCs w:val="24"/>
              </w:rPr>
            </w:pPr>
          </w:p>
        </w:tc>
      </w:tr>
      <w:tr w14:paraId="73216C1B">
        <w:tblPrEx>
          <w:tblCellMar>
            <w:top w:w="0" w:type="dxa"/>
            <w:left w:w="28" w:type="dxa"/>
            <w:bottom w:w="0" w:type="dxa"/>
            <w:right w:w="28" w:type="dxa"/>
          </w:tblCellMar>
        </w:tblPrEx>
        <w:tc>
          <w:tcPr>
            <w:tcW w:w="887" w:type="dxa"/>
            <w:tcBorders>
              <w:top w:val="single" w:color="auto" w:sz="6" w:space="0"/>
              <w:left w:val="single" w:color="auto" w:sz="6" w:space="0"/>
              <w:bottom w:val="single" w:color="auto" w:sz="6" w:space="0"/>
            </w:tcBorders>
          </w:tcPr>
          <w:p w14:paraId="6D51E733">
            <w:pPr>
              <w:rPr>
                <w:rFonts w:hint="eastAsia" w:asciiTheme="minorEastAsia" w:hAnsiTheme="minorEastAsia" w:eastAsiaTheme="minorEastAsia"/>
                <w:szCs w:val="24"/>
              </w:rPr>
            </w:pPr>
          </w:p>
        </w:tc>
        <w:tc>
          <w:tcPr>
            <w:tcW w:w="1019" w:type="dxa"/>
            <w:tcBorders>
              <w:top w:val="single" w:color="auto" w:sz="6" w:space="0"/>
              <w:left w:val="single" w:color="auto" w:sz="6" w:space="0"/>
              <w:bottom w:val="single" w:color="auto" w:sz="6" w:space="0"/>
              <w:right w:val="single" w:color="auto" w:sz="6" w:space="0"/>
            </w:tcBorders>
          </w:tcPr>
          <w:p w14:paraId="7A1F847D">
            <w:pPr>
              <w:rPr>
                <w:rFonts w:hint="eastAsia" w:asciiTheme="minorEastAsia" w:hAnsiTheme="minorEastAsia" w:eastAsiaTheme="minorEastAsia"/>
                <w:szCs w:val="24"/>
              </w:rPr>
            </w:pPr>
          </w:p>
        </w:tc>
        <w:tc>
          <w:tcPr>
            <w:tcW w:w="3163" w:type="dxa"/>
            <w:tcBorders>
              <w:top w:val="single" w:color="auto" w:sz="6" w:space="0"/>
              <w:left w:val="nil"/>
              <w:bottom w:val="single" w:color="auto" w:sz="6" w:space="0"/>
            </w:tcBorders>
          </w:tcPr>
          <w:p w14:paraId="262A9E15">
            <w:pPr>
              <w:rPr>
                <w:rFonts w:hint="eastAsia" w:asciiTheme="minorEastAsia" w:hAnsiTheme="minorEastAsia" w:eastAsiaTheme="minorEastAsia"/>
                <w:szCs w:val="24"/>
              </w:rPr>
            </w:pPr>
          </w:p>
        </w:tc>
        <w:tc>
          <w:tcPr>
            <w:tcW w:w="1015" w:type="dxa"/>
            <w:tcBorders>
              <w:top w:val="single" w:color="auto" w:sz="6" w:space="0"/>
              <w:left w:val="single" w:color="auto" w:sz="6" w:space="0"/>
              <w:bottom w:val="single" w:color="auto" w:sz="6" w:space="0"/>
              <w:right w:val="single" w:color="auto" w:sz="6" w:space="0"/>
            </w:tcBorders>
          </w:tcPr>
          <w:p w14:paraId="4BFF4A0B">
            <w:pPr>
              <w:rPr>
                <w:rFonts w:hint="eastAsia" w:asciiTheme="minorEastAsia" w:hAnsiTheme="minorEastAsia" w:eastAsiaTheme="minorEastAsia"/>
                <w:szCs w:val="24"/>
              </w:rPr>
            </w:pPr>
          </w:p>
        </w:tc>
        <w:tc>
          <w:tcPr>
            <w:tcW w:w="3043" w:type="dxa"/>
            <w:tcBorders>
              <w:top w:val="single" w:color="auto" w:sz="6" w:space="0"/>
              <w:left w:val="nil"/>
              <w:bottom w:val="single" w:color="auto" w:sz="6" w:space="0"/>
              <w:right w:val="single" w:color="auto" w:sz="6" w:space="0"/>
            </w:tcBorders>
          </w:tcPr>
          <w:p w14:paraId="1BC86D9A">
            <w:pPr>
              <w:rPr>
                <w:rFonts w:hint="eastAsia" w:asciiTheme="minorEastAsia" w:hAnsiTheme="minorEastAsia" w:eastAsiaTheme="minorEastAsia"/>
                <w:szCs w:val="24"/>
              </w:rPr>
            </w:pPr>
          </w:p>
        </w:tc>
      </w:tr>
      <w:tr w14:paraId="3E6FF9A0">
        <w:tblPrEx>
          <w:tblCellMar>
            <w:top w:w="0" w:type="dxa"/>
            <w:left w:w="28" w:type="dxa"/>
            <w:bottom w:w="0" w:type="dxa"/>
            <w:right w:w="28" w:type="dxa"/>
          </w:tblCellMar>
        </w:tblPrEx>
        <w:tc>
          <w:tcPr>
            <w:tcW w:w="887" w:type="dxa"/>
            <w:tcBorders>
              <w:top w:val="single" w:color="auto" w:sz="6" w:space="0"/>
              <w:left w:val="single" w:color="auto" w:sz="6" w:space="0"/>
              <w:bottom w:val="single" w:color="auto" w:sz="6" w:space="0"/>
            </w:tcBorders>
          </w:tcPr>
          <w:p w14:paraId="643D4CBB">
            <w:pPr>
              <w:rPr>
                <w:rFonts w:hint="eastAsia" w:asciiTheme="minorEastAsia" w:hAnsiTheme="minorEastAsia" w:eastAsiaTheme="minorEastAsia"/>
                <w:szCs w:val="24"/>
              </w:rPr>
            </w:pPr>
          </w:p>
        </w:tc>
        <w:tc>
          <w:tcPr>
            <w:tcW w:w="1019" w:type="dxa"/>
            <w:tcBorders>
              <w:top w:val="single" w:color="auto" w:sz="6" w:space="0"/>
              <w:left w:val="single" w:color="auto" w:sz="6" w:space="0"/>
              <w:bottom w:val="single" w:color="auto" w:sz="6" w:space="0"/>
              <w:right w:val="single" w:color="auto" w:sz="6" w:space="0"/>
            </w:tcBorders>
          </w:tcPr>
          <w:p w14:paraId="1EB584C4">
            <w:pPr>
              <w:rPr>
                <w:rFonts w:hint="eastAsia" w:asciiTheme="minorEastAsia" w:hAnsiTheme="minorEastAsia" w:eastAsiaTheme="minorEastAsia"/>
                <w:szCs w:val="24"/>
              </w:rPr>
            </w:pPr>
          </w:p>
        </w:tc>
        <w:tc>
          <w:tcPr>
            <w:tcW w:w="3163" w:type="dxa"/>
            <w:tcBorders>
              <w:top w:val="single" w:color="auto" w:sz="6" w:space="0"/>
              <w:left w:val="nil"/>
              <w:bottom w:val="single" w:color="auto" w:sz="6" w:space="0"/>
            </w:tcBorders>
          </w:tcPr>
          <w:p w14:paraId="34B31D15">
            <w:pPr>
              <w:rPr>
                <w:rFonts w:hint="eastAsia" w:asciiTheme="minorEastAsia" w:hAnsiTheme="minorEastAsia" w:eastAsiaTheme="minorEastAsia"/>
                <w:szCs w:val="24"/>
              </w:rPr>
            </w:pPr>
          </w:p>
        </w:tc>
        <w:tc>
          <w:tcPr>
            <w:tcW w:w="1015" w:type="dxa"/>
            <w:tcBorders>
              <w:top w:val="single" w:color="auto" w:sz="6" w:space="0"/>
              <w:left w:val="single" w:color="auto" w:sz="6" w:space="0"/>
              <w:bottom w:val="single" w:color="auto" w:sz="6" w:space="0"/>
              <w:right w:val="single" w:color="auto" w:sz="6" w:space="0"/>
            </w:tcBorders>
          </w:tcPr>
          <w:p w14:paraId="566F8C37">
            <w:pPr>
              <w:rPr>
                <w:rFonts w:hint="eastAsia" w:asciiTheme="minorEastAsia" w:hAnsiTheme="minorEastAsia" w:eastAsiaTheme="minorEastAsia"/>
                <w:szCs w:val="24"/>
              </w:rPr>
            </w:pPr>
          </w:p>
        </w:tc>
        <w:tc>
          <w:tcPr>
            <w:tcW w:w="3043" w:type="dxa"/>
            <w:tcBorders>
              <w:top w:val="single" w:color="auto" w:sz="6" w:space="0"/>
              <w:left w:val="nil"/>
              <w:bottom w:val="single" w:color="auto" w:sz="6" w:space="0"/>
              <w:right w:val="single" w:color="auto" w:sz="6" w:space="0"/>
            </w:tcBorders>
          </w:tcPr>
          <w:p w14:paraId="1062EECD">
            <w:pPr>
              <w:rPr>
                <w:rFonts w:hint="eastAsia" w:asciiTheme="minorEastAsia" w:hAnsiTheme="minorEastAsia" w:eastAsiaTheme="minorEastAsia"/>
                <w:szCs w:val="24"/>
              </w:rPr>
            </w:pPr>
          </w:p>
        </w:tc>
      </w:tr>
      <w:tr w14:paraId="2131B9C9">
        <w:tblPrEx>
          <w:tblCellMar>
            <w:top w:w="0" w:type="dxa"/>
            <w:left w:w="28" w:type="dxa"/>
            <w:bottom w:w="0" w:type="dxa"/>
            <w:right w:w="28" w:type="dxa"/>
          </w:tblCellMar>
        </w:tblPrEx>
        <w:tc>
          <w:tcPr>
            <w:tcW w:w="887" w:type="dxa"/>
            <w:tcBorders>
              <w:top w:val="single" w:color="auto" w:sz="6" w:space="0"/>
              <w:left w:val="single" w:color="auto" w:sz="6" w:space="0"/>
              <w:bottom w:val="single" w:color="auto" w:sz="6" w:space="0"/>
            </w:tcBorders>
          </w:tcPr>
          <w:p w14:paraId="68C85014">
            <w:pPr>
              <w:rPr>
                <w:rFonts w:hint="eastAsia" w:asciiTheme="minorEastAsia" w:hAnsiTheme="minorEastAsia" w:eastAsiaTheme="minorEastAsia"/>
                <w:szCs w:val="24"/>
              </w:rPr>
            </w:pPr>
          </w:p>
        </w:tc>
        <w:tc>
          <w:tcPr>
            <w:tcW w:w="1019" w:type="dxa"/>
            <w:tcBorders>
              <w:top w:val="single" w:color="auto" w:sz="6" w:space="0"/>
              <w:left w:val="single" w:color="auto" w:sz="6" w:space="0"/>
              <w:bottom w:val="single" w:color="auto" w:sz="6" w:space="0"/>
              <w:right w:val="single" w:color="auto" w:sz="6" w:space="0"/>
            </w:tcBorders>
          </w:tcPr>
          <w:p w14:paraId="67B5111D">
            <w:pPr>
              <w:rPr>
                <w:rFonts w:hint="eastAsia" w:asciiTheme="minorEastAsia" w:hAnsiTheme="minorEastAsia" w:eastAsiaTheme="minorEastAsia"/>
                <w:szCs w:val="24"/>
              </w:rPr>
            </w:pPr>
          </w:p>
        </w:tc>
        <w:tc>
          <w:tcPr>
            <w:tcW w:w="3163" w:type="dxa"/>
            <w:tcBorders>
              <w:top w:val="single" w:color="auto" w:sz="6" w:space="0"/>
              <w:left w:val="nil"/>
              <w:bottom w:val="single" w:color="auto" w:sz="6" w:space="0"/>
            </w:tcBorders>
          </w:tcPr>
          <w:p w14:paraId="285E7D6C">
            <w:pPr>
              <w:rPr>
                <w:rFonts w:hint="eastAsia" w:asciiTheme="minorEastAsia" w:hAnsiTheme="minorEastAsia" w:eastAsiaTheme="minorEastAsia"/>
                <w:szCs w:val="24"/>
              </w:rPr>
            </w:pPr>
          </w:p>
        </w:tc>
        <w:tc>
          <w:tcPr>
            <w:tcW w:w="1015" w:type="dxa"/>
            <w:tcBorders>
              <w:top w:val="single" w:color="auto" w:sz="6" w:space="0"/>
              <w:left w:val="single" w:color="auto" w:sz="6" w:space="0"/>
              <w:bottom w:val="single" w:color="auto" w:sz="6" w:space="0"/>
              <w:right w:val="single" w:color="auto" w:sz="6" w:space="0"/>
            </w:tcBorders>
          </w:tcPr>
          <w:p w14:paraId="4BFE63B0">
            <w:pPr>
              <w:rPr>
                <w:rFonts w:hint="eastAsia" w:asciiTheme="minorEastAsia" w:hAnsiTheme="minorEastAsia" w:eastAsiaTheme="minorEastAsia"/>
                <w:szCs w:val="24"/>
              </w:rPr>
            </w:pPr>
          </w:p>
        </w:tc>
        <w:tc>
          <w:tcPr>
            <w:tcW w:w="3043" w:type="dxa"/>
            <w:tcBorders>
              <w:top w:val="single" w:color="auto" w:sz="6" w:space="0"/>
              <w:left w:val="nil"/>
              <w:bottom w:val="single" w:color="auto" w:sz="6" w:space="0"/>
              <w:right w:val="single" w:color="auto" w:sz="6" w:space="0"/>
            </w:tcBorders>
          </w:tcPr>
          <w:p w14:paraId="79432D67">
            <w:pPr>
              <w:rPr>
                <w:rFonts w:hint="eastAsia" w:asciiTheme="minorEastAsia" w:hAnsiTheme="minorEastAsia" w:eastAsiaTheme="minorEastAsia"/>
                <w:szCs w:val="24"/>
              </w:rPr>
            </w:pPr>
          </w:p>
        </w:tc>
      </w:tr>
      <w:tr w14:paraId="61A5742C">
        <w:tblPrEx>
          <w:tblCellMar>
            <w:top w:w="0" w:type="dxa"/>
            <w:left w:w="28" w:type="dxa"/>
            <w:bottom w:w="0" w:type="dxa"/>
            <w:right w:w="28" w:type="dxa"/>
          </w:tblCellMar>
        </w:tblPrEx>
        <w:tc>
          <w:tcPr>
            <w:tcW w:w="887" w:type="dxa"/>
            <w:tcBorders>
              <w:top w:val="single" w:color="auto" w:sz="6" w:space="0"/>
              <w:left w:val="single" w:color="auto" w:sz="6" w:space="0"/>
              <w:bottom w:val="single" w:color="auto" w:sz="6" w:space="0"/>
            </w:tcBorders>
          </w:tcPr>
          <w:p w14:paraId="0BB1271E">
            <w:pPr>
              <w:rPr>
                <w:rFonts w:hint="eastAsia" w:asciiTheme="minorEastAsia" w:hAnsiTheme="minorEastAsia" w:eastAsiaTheme="minorEastAsia"/>
                <w:szCs w:val="24"/>
              </w:rPr>
            </w:pPr>
          </w:p>
        </w:tc>
        <w:tc>
          <w:tcPr>
            <w:tcW w:w="1019" w:type="dxa"/>
            <w:tcBorders>
              <w:top w:val="single" w:color="auto" w:sz="6" w:space="0"/>
              <w:left w:val="single" w:color="auto" w:sz="6" w:space="0"/>
              <w:bottom w:val="single" w:color="auto" w:sz="6" w:space="0"/>
              <w:right w:val="single" w:color="auto" w:sz="6" w:space="0"/>
            </w:tcBorders>
          </w:tcPr>
          <w:p w14:paraId="26366E3C">
            <w:pPr>
              <w:rPr>
                <w:rFonts w:hint="eastAsia" w:asciiTheme="minorEastAsia" w:hAnsiTheme="minorEastAsia" w:eastAsiaTheme="minorEastAsia"/>
                <w:szCs w:val="24"/>
              </w:rPr>
            </w:pPr>
          </w:p>
        </w:tc>
        <w:tc>
          <w:tcPr>
            <w:tcW w:w="3163" w:type="dxa"/>
            <w:tcBorders>
              <w:top w:val="single" w:color="auto" w:sz="6" w:space="0"/>
              <w:left w:val="nil"/>
              <w:bottom w:val="single" w:color="auto" w:sz="6" w:space="0"/>
            </w:tcBorders>
          </w:tcPr>
          <w:p w14:paraId="112FC074">
            <w:pPr>
              <w:rPr>
                <w:rFonts w:hint="eastAsia" w:asciiTheme="minorEastAsia" w:hAnsiTheme="minorEastAsia" w:eastAsiaTheme="minorEastAsia"/>
                <w:szCs w:val="24"/>
              </w:rPr>
            </w:pPr>
          </w:p>
        </w:tc>
        <w:tc>
          <w:tcPr>
            <w:tcW w:w="1015" w:type="dxa"/>
            <w:tcBorders>
              <w:top w:val="single" w:color="auto" w:sz="6" w:space="0"/>
              <w:left w:val="single" w:color="auto" w:sz="6" w:space="0"/>
              <w:bottom w:val="single" w:color="auto" w:sz="6" w:space="0"/>
              <w:right w:val="single" w:color="auto" w:sz="6" w:space="0"/>
            </w:tcBorders>
          </w:tcPr>
          <w:p w14:paraId="6FF6CEA5">
            <w:pPr>
              <w:rPr>
                <w:rFonts w:hint="eastAsia" w:asciiTheme="minorEastAsia" w:hAnsiTheme="minorEastAsia" w:eastAsiaTheme="minorEastAsia"/>
                <w:szCs w:val="24"/>
              </w:rPr>
            </w:pPr>
          </w:p>
        </w:tc>
        <w:tc>
          <w:tcPr>
            <w:tcW w:w="3043" w:type="dxa"/>
            <w:tcBorders>
              <w:top w:val="single" w:color="auto" w:sz="6" w:space="0"/>
              <w:left w:val="nil"/>
              <w:bottom w:val="single" w:color="auto" w:sz="6" w:space="0"/>
              <w:right w:val="single" w:color="auto" w:sz="6" w:space="0"/>
            </w:tcBorders>
          </w:tcPr>
          <w:p w14:paraId="6A628C18">
            <w:pPr>
              <w:rPr>
                <w:rFonts w:hint="eastAsia" w:asciiTheme="minorEastAsia" w:hAnsiTheme="minorEastAsia" w:eastAsiaTheme="minorEastAsia"/>
                <w:szCs w:val="24"/>
              </w:rPr>
            </w:pPr>
          </w:p>
        </w:tc>
      </w:tr>
      <w:tr w14:paraId="23C7B1C0">
        <w:tblPrEx>
          <w:tblCellMar>
            <w:top w:w="0" w:type="dxa"/>
            <w:left w:w="28" w:type="dxa"/>
            <w:bottom w:w="0" w:type="dxa"/>
            <w:right w:w="28" w:type="dxa"/>
          </w:tblCellMar>
        </w:tblPrEx>
        <w:tc>
          <w:tcPr>
            <w:tcW w:w="887" w:type="dxa"/>
            <w:tcBorders>
              <w:top w:val="single" w:color="auto" w:sz="6" w:space="0"/>
              <w:left w:val="single" w:color="auto" w:sz="6" w:space="0"/>
              <w:bottom w:val="single" w:color="auto" w:sz="6" w:space="0"/>
            </w:tcBorders>
          </w:tcPr>
          <w:p w14:paraId="236694B4">
            <w:pPr>
              <w:rPr>
                <w:rFonts w:hint="eastAsia" w:asciiTheme="minorEastAsia" w:hAnsiTheme="minorEastAsia" w:eastAsiaTheme="minorEastAsia"/>
                <w:szCs w:val="24"/>
              </w:rPr>
            </w:pPr>
          </w:p>
        </w:tc>
        <w:tc>
          <w:tcPr>
            <w:tcW w:w="1019" w:type="dxa"/>
            <w:tcBorders>
              <w:top w:val="single" w:color="auto" w:sz="6" w:space="0"/>
              <w:left w:val="single" w:color="auto" w:sz="6" w:space="0"/>
              <w:bottom w:val="single" w:color="auto" w:sz="6" w:space="0"/>
              <w:right w:val="single" w:color="auto" w:sz="6" w:space="0"/>
            </w:tcBorders>
          </w:tcPr>
          <w:p w14:paraId="31637344">
            <w:pPr>
              <w:rPr>
                <w:rFonts w:hint="eastAsia" w:asciiTheme="minorEastAsia" w:hAnsiTheme="minorEastAsia" w:eastAsiaTheme="minorEastAsia"/>
                <w:szCs w:val="24"/>
              </w:rPr>
            </w:pPr>
          </w:p>
        </w:tc>
        <w:tc>
          <w:tcPr>
            <w:tcW w:w="3163" w:type="dxa"/>
            <w:tcBorders>
              <w:top w:val="single" w:color="auto" w:sz="6" w:space="0"/>
              <w:left w:val="nil"/>
              <w:bottom w:val="single" w:color="auto" w:sz="6" w:space="0"/>
            </w:tcBorders>
          </w:tcPr>
          <w:p w14:paraId="4F49C22E">
            <w:pPr>
              <w:rPr>
                <w:rFonts w:hint="eastAsia" w:asciiTheme="minorEastAsia" w:hAnsiTheme="minorEastAsia" w:eastAsiaTheme="minorEastAsia"/>
                <w:szCs w:val="24"/>
              </w:rPr>
            </w:pPr>
          </w:p>
        </w:tc>
        <w:tc>
          <w:tcPr>
            <w:tcW w:w="1015" w:type="dxa"/>
            <w:tcBorders>
              <w:top w:val="single" w:color="auto" w:sz="6" w:space="0"/>
              <w:left w:val="single" w:color="auto" w:sz="6" w:space="0"/>
              <w:bottom w:val="single" w:color="auto" w:sz="6" w:space="0"/>
              <w:right w:val="single" w:color="auto" w:sz="6" w:space="0"/>
            </w:tcBorders>
          </w:tcPr>
          <w:p w14:paraId="5BAB4DAE">
            <w:pPr>
              <w:rPr>
                <w:rFonts w:hint="eastAsia" w:asciiTheme="minorEastAsia" w:hAnsiTheme="minorEastAsia" w:eastAsiaTheme="minorEastAsia"/>
                <w:szCs w:val="24"/>
              </w:rPr>
            </w:pPr>
          </w:p>
        </w:tc>
        <w:tc>
          <w:tcPr>
            <w:tcW w:w="3043" w:type="dxa"/>
            <w:tcBorders>
              <w:top w:val="single" w:color="auto" w:sz="6" w:space="0"/>
              <w:left w:val="nil"/>
              <w:bottom w:val="single" w:color="auto" w:sz="6" w:space="0"/>
              <w:right w:val="single" w:color="auto" w:sz="6" w:space="0"/>
            </w:tcBorders>
          </w:tcPr>
          <w:p w14:paraId="55CFE66C">
            <w:pPr>
              <w:rPr>
                <w:rFonts w:hint="eastAsia" w:asciiTheme="minorEastAsia" w:hAnsiTheme="minorEastAsia" w:eastAsiaTheme="minorEastAsia"/>
                <w:szCs w:val="24"/>
              </w:rPr>
            </w:pPr>
          </w:p>
        </w:tc>
      </w:tr>
      <w:tr w14:paraId="1ECD4FF6">
        <w:tblPrEx>
          <w:tblCellMar>
            <w:top w:w="0" w:type="dxa"/>
            <w:left w:w="28" w:type="dxa"/>
            <w:bottom w:w="0" w:type="dxa"/>
            <w:right w:w="28" w:type="dxa"/>
          </w:tblCellMar>
        </w:tblPrEx>
        <w:tc>
          <w:tcPr>
            <w:tcW w:w="887" w:type="dxa"/>
            <w:tcBorders>
              <w:top w:val="single" w:color="auto" w:sz="6" w:space="0"/>
              <w:left w:val="single" w:color="auto" w:sz="6" w:space="0"/>
              <w:bottom w:val="single" w:color="auto" w:sz="6" w:space="0"/>
            </w:tcBorders>
          </w:tcPr>
          <w:p w14:paraId="3EFAD789">
            <w:pPr>
              <w:rPr>
                <w:rFonts w:hint="eastAsia" w:asciiTheme="minorEastAsia" w:hAnsiTheme="minorEastAsia" w:eastAsiaTheme="minorEastAsia"/>
                <w:szCs w:val="24"/>
              </w:rPr>
            </w:pPr>
          </w:p>
        </w:tc>
        <w:tc>
          <w:tcPr>
            <w:tcW w:w="1019" w:type="dxa"/>
            <w:tcBorders>
              <w:top w:val="single" w:color="auto" w:sz="6" w:space="0"/>
              <w:left w:val="single" w:color="auto" w:sz="6" w:space="0"/>
              <w:bottom w:val="single" w:color="auto" w:sz="6" w:space="0"/>
              <w:right w:val="single" w:color="auto" w:sz="6" w:space="0"/>
            </w:tcBorders>
          </w:tcPr>
          <w:p w14:paraId="382B72DE">
            <w:pPr>
              <w:rPr>
                <w:rFonts w:hint="eastAsia" w:asciiTheme="minorEastAsia" w:hAnsiTheme="minorEastAsia" w:eastAsiaTheme="minorEastAsia"/>
                <w:szCs w:val="24"/>
              </w:rPr>
            </w:pPr>
          </w:p>
        </w:tc>
        <w:tc>
          <w:tcPr>
            <w:tcW w:w="3163" w:type="dxa"/>
            <w:tcBorders>
              <w:top w:val="single" w:color="auto" w:sz="6" w:space="0"/>
              <w:left w:val="nil"/>
              <w:bottom w:val="single" w:color="auto" w:sz="6" w:space="0"/>
            </w:tcBorders>
          </w:tcPr>
          <w:p w14:paraId="75E28F27">
            <w:pPr>
              <w:rPr>
                <w:rFonts w:hint="eastAsia" w:asciiTheme="minorEastAsia" w:hAnsiTheme="minorEastAsia" w:eastAsiaTheme="minorEastAsia"/>
                <w:szCs w:val="24"/>
              </w:rPr>
            </w:pPr>
          </w:p>
        </w:tc>
        <w:tc>
          <w:tcPr>
            <w:tcW w:w="1015" w:type="dxa"/>
            <w:tcBorders>
              <w:top w:val="single" w:color="auto" w:sz="6" w:space="0"/>
              <w:left w:val="single" w:color="auto" w:sz="6" w:space="0"/>
              <w:bottom w:val="single" w:color="auto" w:sz="6" w:space="0"/>
              <w:right w:val="single" w:color="auto" w:sz="6" w:space="0"/>
            </w:tcBorders>
          </w:tcPr>
          <w:p w14:paraId="0F9AC993">
            <w:pPr>
              <w:rPr>
                <w:rFonts w:hint="eastAsia" w:asciiTheme="minorEastAsia" w:hAnsiTheme="minorEastAsia" w:eastAsiaTheme="minorEastAsia"/>
                <w:szCs w:val="24"/>
              </w:rPr>
            </w:pPr>
          </w:p>
        </w:tc>
        <w:tc>
          <w:tcPr>
            <w:tcW w:w="3043" w:type="dxa"/>
            <w:tcBorders>
              <w:top w:val="single" w:color="auto" w:sz="6" w:space="0"/>
              <w:left w:val="nil"/>
              <w:bottom w:val="single" w:color="auto" w:sz="6" w:space="0"/>
              <w:right w:val="single" w:color="auto" w:sz="6" w:space="0"/>
            </w:tcBorders>
          </w:tcPr>
          <w:p w14:paraId="4033D05D">
            <w:pPr>
              <w:rPr>
                <w:rFonts w:hint="eastAsia" w:asciiTheme="minorEastAsia" w:hAnsiTheme="minorEastAsia" w:eastAsiaTheme="minorEastAsia"/>
                <w:szCs w:val="24"/>
              </w:rPr>
            </w:pPr>
          </w:p>
        </w:tc>
      </w:tr>
      <w:tr w14:paraId="115DF4F3">
        <w:tblPrEx>
          <w:tblCellMar>
            <w:top w:w="0" w:type="dxa"/>
            <w:left w:w="28" w:type="dxa"/>
            <w:bottom w:w="0" w:type="dxa"/>
            <w:right w:w="28" w:type="dxa"/>
          </w:tblCellMar>
        </w:tblPrEx>
        <w:tc>
          <w:tcPr>
            <w:tcW w:w="887" w:type="dxa"/>
            <w:tcBorders>
              <w:top w:val="single" w:color="auto" w:sz="6" w:space="0"/>
              <w:left w:val="single" w:color="auto" w:sz="6" w:space="0"/>
              <w:bottom w:val="single" w:color="auto" w:sz="6" w:space="0"/>
            </w:tcBorders>
          </w:tcPr>
          <w:p w14:paraId="4581517B">
            <w:pPr>
              <w:rPr>
                <w:rFonts w:hint="eastAsia" w:asciiTheme="minorEastAsia" w:hAnsiTheme="minorEastAsia" w:eastAsiaTheme="minorEastAsia"/>
                <w:szCs w:val="24"/>
              </w:rPr>
            </w:pPr>
          </w:p>
        </w:tc>
        <w:tc>
          <w:tcPr>
            <w:tcW w:w="1019" w:type="dxa"/>
            <w:tcBorders>
              <w:top w:val="single" w:color="auto" w:sz="6" w:space="0"/>
              <w:left w:val="single" w:color="auto" w:sz="6" w:space="0"/>
              <w:bottom w:val="single" w:color="auto" w:sz="6" w:space="0"/>
              <w:right w:val="single" w:color="auto" w:sz="6" w:space="0"/>
            </w:tcBorders>
          </w:tcPr>
          <w:p w14:paraId="0D1FAF9B">
            <w:pPr>
              <w:rPr>
                <w:rFonts w:hint="eastAsia" w:asciiTheme="minorEastAsia" w:hAnsiTheme="minorEastAsia" w:eastAsiaTheme="minorEastAsia"/>
                <w:szCs w:val="24"/>
              </w:rPr>
            </w:pPr>
          </w:p>
        </w:tc>
        <w:tc>
          <w:tcPr>
            <w:tcW w:w="3163" w:type="dxa"/>
            <w:tcBorders>
              <w:top w:val="single" w:color="auto" w:sz="6" w:space="0"/>
              <w:left w:val="nil"/>
              <w:bottom w:val="single" w:color="auto" w:sz="6" w:space="0"/>
            </w:tcBorders>
          </w:tcPr>
          <w:p w14:paraId="13A09192">
            <w:pPr>
              <w:rPr>
                <w:rFonts w:hint="eastAsia" w:asciiTheme="minorEastAsia" w:hAnsiTheme="minorEastAsia" w:eastAsiaTheme="minorEastAsia"/>
                <w:szCs w:val="24"/>
              </w:rPr>
            </w:pPr>
          </w:p>
        </w:tc>
        <w:tc>
          <w:tcPr>
            <w:tcW w:w="1015" w:type="dxa"/>
            <w:tcBorders>
              <w:top w:val="single" w:color="auto" w:sz="6" w:space="0"/>
              <w:left w:val="single" w:color="auto" w:sz="6" w:space="0"/>
              <w:bottom w:val="single" w:color="auto" w:sz="6" w:space="0"/>
              <w:right w:val="single" w:color="auto" w:sz="6" w:space="0"/>
            </w:tcBorders>
          </w:tcPr>
          <w:p w14:paraId="11FD53BA">
            <w:pPr>
              <w:rPr>
                <w:rFonts w:hint="eastAsia" w:asciiTheme="minorEastAsia" w:hAnsiTheme="minorEastAsia" w:eastAsiaTheme="minorEastAsia"/>
                <w:szCs w:val="24"/>
              </w:rPr>
            </w:pPr>
          </w:p>
        </w:tc>
        <w:tc>
          <w:tcPr>
            <w:tcW w:w="3043" w:type="dxa"/>
            <w:tcBorders>
              <w:top w:val="single" w:color="auto" w:sz="6" w:space="0"/>
              <w:left w:val="nil"/>
              <w:bottom w:val="single" w:color="auto" w:sz="6" w:space="0"/>
              <w:right w:val="single" w:color="auto" w:sz="6" w:space="0"/>
            </w:tcBorders>
          </w:tcPr>
          <w:p w14:paraId="3E81B733">
            <w:pPr>
              <w:rPr>
                <w:rFonts w:hint="eastAsia" w:asciiTheme="minorEastAsia" w:hAnsiTheme="minorEastAsia" w:eastAsiaTheme="minorEastAsia"/>
                <w:szCs w:val="24"/>
              </w:rPr>
            </w:pPr>
          </w:p>
        </w:tc>
      </w:tr>
      <w:tr w14:paraId="50AA7950">
        <w:tblPrEx>
          <w:tblCellMar>
            <w:top w:w="0" w:type="dxa"/>
            <w:left w:w="28" w:type="dxa"/>
            <w:bottom w:w="0" w:type="dxa"/>
            <w:right w:w="28" w:type="dxa"/>
          </w:tblCellMar>
        </w:tblPrEx>
        <w:tc>
          <w:tcPr>
            <w:tcW w:w="887" w:type="dxa"/>
            <w:tcBorders>
              <w:top w:val="single" w:color="auto" w:sz="6" w:space="0"/>
              <w:left w:val="single" w:color="auto" w:sz="6" w:space="0"/>
              <w:bottom w:val="single" w:color="auto" w:sz="6" w:space="0"/>
            </w:tcBorders>
          </w:tcPr>
          <w:p w14:paraId="5C8AC473">
            <w:pPr>
              <w:rPr>
                <w:rFonts w:hint="eastAsia" w:asciiTheme="minorEastAsia" w:hAnsiTheme="minorEastAsia" w:eastAsiaTheme="minorEastAsia"/>
                <w:szCs w:val="24"/>
              </w:rPr>
            </w:pPr>
          </w:p>
        </w:tc>
        <w:tc>
          <w:tcPr>
            <w:tcW w:w="1019" w:type="dxa"/>
            <w:tcBorders>
              <w:top w:val="single" w:color="auto" w:sz="6" w:space="0"/>
              <w:left w:val="single" w:color="auto" w:sz="6" w:space="0"/>
              <w:bottom w:val="single" w:color="auto" w:sz="6" w:space="0"/>
              <w:right w:val="single" w:color="auto" w:sz="6" w:space="0"/>
            </w:tcBorders>
          </w:tcPr>
          <w:p w14:paraId="529F5621">
            <w:pPr>
              <w:rPr>
                <w:rFonts w:hint="eastAsia" w:asciiTheme="minorEastAsia" w:hAnsiTheme="minorEastAsia" w:eastAsiaTheme="minorEastAsia"/>
                <w:szCs w:val="24"/>
              </w:rPr>
            </w:pPr>
          </w:p>
        </w:tc>
        <w:tc>
          <w:tcPr>
            <w:tcW w:w="3163" w:type="dxa"/>
            <w:tcBorders>
              <w:top w:val="single" w:color="auto" w:sz="6" w:space="0"/>
              <w:left w:val="nil"/>
              <w:bottom w:val="single" w:color="auto" w:sz="6" w:space="0"/>
            </w:tcBorders>
          </w:tcPr>
          <w:p w14:paraId="45B80E79">
            <w:pPr>
              <w:rPr>
                <w:rFonts w:hint="eastAsia" w:asciiTheme="minorEastAsia" w:hAnsiTheme="minorEastAsia" w:eastAsiaTheme="minorEastAsia"/>
                <w:szCs w:val="24"/>
              </w:rPr>
            </w:pPr>
          </w:p>
        </w:tc>
        <w:tc>
          <w:tcPr>
            <w:tcW w:w="1015" w:type="dxa"/>
            <w:tcBorders>
              <w:top w:val="single" w:color="auto" w:sz="6" w:space="0"/>
              <w:left w:val="single" w:color="auto" w:sz="6" w:space="0"/>
              <w:bottom w:val="single" w:color="auto" w:sz="6" w:space="0"/>
              <w:right w:val="single" w:color="auto" w:sz="6" w:space="0"/>
            </w:tcBorders>
          </w:tcPr>
          <w:p w14:paraId="411013AB">
            <w:pPr>
              <w:rPr>
                <w:rFonts w:hint="eastAsia" w:asciiTheme="minorEastAsia" w:hAnsiTheme="minorEastAsia" w:eastAsiaTheme="minorEastAsia"/>
                <w:szCs w:val="24"/>
              </w:rPr>
            </w:pPr>
          </w:p>
        </w:tc>
        <w:tc>
          <w:tcPr>
            <w:tcW w:w="3043" w:type="dxa"/>
            <w:tcBorders>
              <w:top w:val="single" w:color="auto" w:sz="6" w:space="0"/>
              <w:left w:val="nil"/>
              <w:bottom w:val="single" w:color="auto" w:sz="6" w:space="0"/>
              <w:right w:val="single" w:color="auto" w:sz="6" w:space="0"/>
            </w:tcBorders>
          </w:tcPr>
          <w:p w14:paraId="20CF6D8D">
            <w:pPr>
              <w:rPr>
                <w:rFonts w:hint="eastAsia" w:asciiTheme="minorEastAsia" w:hAnsiTheme="minorEastAsia" w:eastAsiaTheme="minorEastAsia"/>
                <w:szCs w:val="24"/>
              </w:rPr>
            </w:pPr>
          </w:p>
        </w:tc>
      </w:tr>
      <w:tr w14:paraId="2D2886AB">
        <w:tblPrEx>
          <w:tblCellMar>
            <w:top w:w="0" w:type="dxa"/>
            <w:left w:w="28" w:type="dxa"/>
            <w:bottom w:w="0" w:type="dxa"/>
            <w:right w:w="28" w:type="dxa"/>
          </w:tblCellMar>
        </w:tblPrEx>
        <w:tc>
          <w:tcPr>
            <w:tcW w:w="887" w:type="dxa"/>
            <w:tcBorders>
              <w:top w:val="single" w:color="auto" w:sz="6" w:space="0"/>
              <w:left w:val="single" w:color="auto" w:sz="6" w:space="0"/>
              <w:bottom w:val="single" w:color="auto" w:sz="6" w:space="0"/>
            </w:tcBorders>
          </w:tcPr>
          <w:p w14:paraId="36FCC9A8">
            <w:pPr>
              <w:rPr>
                <w:rFonts w:hint="eastAsia" w:asciiTheme="minorEastAsia" w:hAnsiTheme="minorEastAsia" w:eastAsiaTheme="minorEastAsia"/>
                <w:szCs w:val="24"/>
              </w:rPr>
            </w:pPr>
          </w:p>
        </w:tc>
        <w:tc>
          <w:tcPr>
            <w:tcW w:w="1019" w:type="dxa"/>
            <w:tcBorders>
              <w:top w:val="single" w:color="auto" w:sz="6" w:space="0"/>
              <w:left w:val="single" w:color="auto" w:sz="6" w:space="0"/>
              <w:bottom w:val="single" w:color="auto" w:sz="6" w:space="0"/>
              <w:right w:val="single" w:color="auto" w:sz="6" w:space="0"/>
            </w:tcBorders>
          </w:tcPr>
          <w:p w14:paraId="1AD0F279">
            <w:pPr>
              <w:rPr>
                <w:rFonts w:hint="eastAsia" w:asciiTheme="minorEastAsia" w:hAnsiTheme="minorEastAsia" w:eastAsiaTheme="minorEastAsia"/>
                <w:szCs w:val="24"/>
              </w:rPr>
            </w:pPr>
          </w:p>
        </w:tc>
        <w:tc>
          <w:tcPr>
            <w:tcW w:w="3163" w:type="dxa"/>
            <w:tcBorders>
              <w:top w:val="single" w:color="auto" w:sz="6" w:space="0"/>
              <w:left w:val="nil"/>
              <w:bottom w:val="single" w:color="auto" w:sz="6" w:space="0"/>
            </w:tcBorders>
          </w:tcPr>
          <w:p w14:paraId="5CF2C786">
            <w:pPr>
              <w:rPr>
                <w:rFonts w:hint="eastAsia" w:asciiTheme="minorEastAsia" w:hAnsiTheme="minorEastAsia" w:eastAsiaTheme="minorEastAsia"/>
                <w:szCs w:val="24"/>
              </w:rPr>
            </w:pPr>
          </w:p>
        </w:tc>
        <w:tc>
          <w:tcPr>
            <w:tcW w:w="1015" w:type="dxa"/>
            <w:tcBorders>
              <w:top w:val="single" w:color="auto" w:sz="6" w:space="0"/>
              <w:left w:val="single" w:color="auto" w:sz="6" w:space="0"/>
              <w:bottom w:val="single" w:color="auto" w:sz="6" w:space="0"/>
              <w:right w:val="single" w:color="auto" w:sz="6" w:space="0"/>
            </w:tcBorders>
          </w:tcPr>
          <w:p w14:paraId="68DD4907">
            <w:pPr>
              <w:rPr>
                <w:rFonts w:hint="eastAsia" w:asciiTheme="minorEastAsia" w:hAnsiTheme="minorEastAsia" w:eastAsiaTheme="minorEastAsia"/>
                <w:szCs w:val="24"/>
              </w:rPr>
            </w:pPr>
          </w:p>
        </w:tc>
        <w:tc>
          <w:tcPr>
            <w:tcW w:w="3043" w:type="dxa"/>
            <w:tcBorders>
              <w:top w:val="single" w:color="auto" w:sz="6" w:space="0"/>
              <w:left w:val="nil"/>
              <w:bottom w:val="single" w:color="auto" w:sz="6" w:space="0"/>
              <w:right w:val="single" w:color="auto" w:sz="6" w:space="0"/>
            </w:tcBorders>
          </w:tcPr>
          <w:p w14:paraId="0C477A39">
            <w:pPr>
              <w:rPr>
                <w:rFonts w:hint="eastAsia" w:asciiTheme="minorEastAsia" w:hAnsiTheme="minorEastAsia" w:eastAsiaTheme="minorEastAsia"/>
                <w:szCs w:val="24"/>
              </w:rPr>
            </w:pPr>
          </w:p>
        </w:tc>
      </w:tr>
    </w:tbl>
    <w:p w14:paraId="06C31D2D">
      <w:pPr>
        <w:spacing w:line="360" w:lineRule="auto"/>
        <w:rPr>
          <w:rFonts w:hint="eastAsia" w:asciiTheme="minorEastAsia" w:hAnsiTheme="minorEastAsia" w:eastAsiaTheme="minorEastAsia"/>
        </w:rPr>
      </w:pPr>
    </w:p>
    <w:p w14:paraId="0642ECAA">
      <w:pPr>
        <w:rPr>
          <w:rFonts w:ascii="Arial" w:hAnsi="Arial" w:cs="Arial"/>
        </w:rPr>
      </w:pPr>
    </w:p>
    <w:p w14:paraId="507DFAC4">
      <w:pPr>
        <w:rPr>
          <w:rFonts w:ascii="Arial" w:hAnsi="Arial" w:cs="Arial"/>
        </w:rPr>
      </w:pPr>
    </w:p>
    <w:p w14:paraId="0C0A1636">
      <w:pPr>
        <w:rPr>
          <w:rFonts w:ascii="Arial" w:hAnsi="Arial" w:cs="Arial"/>
        </w:rPr>
      </w:pPr>
    </w:p>
    <w:p w14:paraId="7A02C365">
      <w:pPr>
        <w:rPr>
          <w:rFonts w:ascii="Arial" w:hAnsi="Arial" w:cs="Arial"/>
        </w:rPr>
      </w:pPr>
    </w:p>
    <w:p w14:paraId="570EF938">
      <w:pPr>
        <w:rPr>
          <w:rFonts w:ascii="Arial" w:hAnsi="Arial" w:cs="Arial"/>
        </w:rPr>
      </w:pPr>
    </w:p>
    <w:p w14:paraId="747BB92D">
      <w:pPr>
        <w:rPr>
          <w:rFonts w:ascii="Arial" w:hAnsi="Arial" w:cs="Arial"/>
        </w:rPr>
      </w:pPr>
    </w:p>
    <w:p w14:paraId="497BD966">
      <w:pPr>
        <w:rPr>
          <w:rFonts w:ascii="Arial" w:hAnsi="Arial" w:cs="Arial"/>
        </w:rPr>
      </w:pPr>
    </w:p>
    <w:p w14:paraId="2F50072E">
      <w:pPr>
        <w:rPr>
          <w:rFonts w:ascii="Arial" w:hAnsi="Arial" w:cs="Arial"/>
        </w:rPr>
      </w:pPr>
    </w:p>
    <w:p w14:paraId="2C30437B">
      <w:pPr>
        <w:rPr>
          <w:rFonts w:ascii="Arial" w:hAnsi="Arial" w:cs="Arial"/>
        </w:rPr>
      </w:pPr>
    </w:p>
    <w:p w14:paraId="5299A25E"/>
    <w:p w14:paraId="6AF6E46F"/>
    <w:p w14:paraId="1CA672EF"/>
    <w:p w14:paraId="3893F100"/>
    <w:p w14:paraId="1E914CFE"/>
    <w:p w14:paraId="47436465"/>
    <w:p w14:paraId="7F6F5266">
      <w:pPr>
        <w:pStyle w:val="2"/>
        <w:spacing w:before="156" w:beforeLines="50" w:after="156" w:afterLines="50" w:line="360" w:lineRule="auto"/>
        <w:jc w:val="left"/>
        <w:rPr>
          <w:rFonts w:ascii="Arial" w:hAnsi="Arial" w:cs="Arial"/>
          <w:sz w:val="28"/>
        </w:rPr>
      </w:pPr>
      <w:bookmarkStart w:id="75" w:name="_Toc3339"/>
      <w:r>
        <w:rPr>
          <w:rFonts w:ascii="Arial" w:hAnsi="Arial" w:cs="Arial"/>
          <w:sz w:val="28"/>
        </w:rPr>
        <w:t>附件11  附图</w:t>
      </w:r>
      <w:bookmarkEnd w:id="75"/>
    </w:p>
    <w:p w14:paraId="6CB91FD8">
      <w:pPr>
        <w:widowControl/>
        <w:autoSpaceDE w:val="0"/>
        <w:autoSpaceDN w:val="0"/>
        <w:snapToGrid w:val="0"/>
        <w:spacing w:line="360" w:lineRule="auto"/>
        <w:textAlignment w:val="bottom"/>
        <w:rPr>
          <w:rFonts w:ascii="Arial" w:hAnsi="Arial" w:cs="Arial"/>
        </w:rPr>
      </w:pPr>
    </w:p>
    <w:p w14:paraId="15078700">
      <w:pPr>
        <w:widowControl/>
        <w:autoSpaceDE w:val="0"/>
        <w:autoSpaceDN w:val="0"/>
        <w:snapToGrid w:val="0"/>
        <w:spacing w:line="360" w:lineRule="auto"/>
        <w:textAlignment w:val="bottom"/>
        <w:rPr>
          <w:rFonts w:ascii="Arial" w:hAnsi="Arial" w:cs="Arial"/>
          <w:b/>
        </w:rPr>
      </w:pPr>
      <w:bookmarkStart w:id="76" w:name="_Toc21936"/>
      <w:r>
        <w:rPr>
          <w:rFonts w:hint="eastAsia"/>
          <w:b/>
          <w:sz w:val="28"/>
          <w:szCs w:val="28"/>
        </w:rPr>
        <w:t>附图：集控室及电子设备间平面布置图</w:t>
      </w:r>
      <w:bookmarkEnd w:id="76"/>
    </w:p>
    <w:p w14:paraId="5CD2C345">
      <w:pPr>
        <w:widowControl/>
        <w:autoSpaceDE w:val="0"/>
        <w:autoSpaceDN w:val="0"/>
        <w:snapToGrid w:val="0"/>
        <w:spacing w:line="360" w:lineRule="auto"/>
        <w:textAlignment w:val="bottom"/>
        <w:rPr>
          <w:rFonts w:ascii="Arial" w:hAnsi="Arial" w:cs="Arial"/>
        </w:rPr>
      </w:pPr>
    </w:p>
    <w:p w14:paraId="1C9A17B8">
      <w:pPr>
        <w:widowControl/>
        <w:autoSpaceDE w:val="0"/>
        <w:autoSpaceDN w:val="0"/>
        <w:snapToGrid w:val="0"/>
        <w:spacing w:line="360" w:lineRule="auto"/>
        <w:textAlignment w:val="bottom"/>
        <w:rPr>
          <w:rFonts w:ascii="Arial" w:hAnsi="Arial" w:cs="Arial"/>
        </w:rPr>
      </w:pPr>
    </w:p>
    <w:p w14:paraId="5E8CA5AA">
      <w:pPr>
        <w:widowControl/>
        <w:autoSpaceDE w:val="0"/>
        <w:autoSpaceDN w:val="0"/>
        <w:snapToGrid w:val="0"/>
        <w:spacing w:line="360" w:lineRule="auto"/>
        <w:textAlignment w:val="bottom"/>
        <w:rPr>
          <w:rFonts w:ascii="Arial" w:hAnsi="Arial" w:cs="Arial"/>
        </w:rPr>
      </w:pPr>
    </w:p>
    <w:p w14:paraId="54BC50F6">
      <w:pPr>
        <w:widowControl/>
        <w:autoSpaceDE w:val="0"/>
        <w:autoSpaceDN w:val="0"/>
        <w:snapToGrid w:val="0"/>
        <w:spacing w:line="360" w:lineRule="auto"/>
        <w:textAlignment w:val="bottom"/>
        <w:rPr>
          <w:rFonts w:ascii="Arial" w:hAnsi="Arial" w:cs="Arial"/>
        </w:rPr>
      </w:pPr>
    </w:p>
    <w:p w14:paraId="577ABDEA">
      <w:pPr>
        <w:widowControl/>
        <w:autoSpaceDE w:val="0"/>
        <w:autoSpaceDN w:val="0"/>
        <w:snapToGrid w:val="0"/>
        <w:spacing w:line="360" w:lineRule="auto"/>
        <w:textAlignment w:val="bottom"/>
        <w:rPr>
          <w:rFonts w:ascii="Arial" w:hAnsi="Arial" w:cs="Arial"/>
        </w:rPr>
      </w:pPr>
    </w:p>
    <w:p w14:paraId="1AD49DF7">
      <w:pPr>
        <w:widowControl/>
        <w:autoSpaceDE w:val="0"/>
        <w:autoSpaceDN w:val="0"/>
        <w:snapToGrid w:val="0"/>
        <w:spacing w:line="360" w:lineRule="auto"/>
        <w:textAlignment w:val="bottom"/>
        <w:rPr>
          <w:rFonts w:ascii="Arial" w:hAnsi="Arial" w:cs="Arial"/>
        </w:rPr>
      </w:pPr>
    </w:p>
    <w:p w14:paraId="69BCCC0B">
      <w:pPr>
        <w:widowControl/>
        <w:autoSpaceDE w:val="0"/>
        <w:autoSpaceDN w:val="0"/>
        <w:snapToGrid w:val="0"/>
        <w:spacing w:line="360" w:lineRule="auto"/>
        <w:textAlignment w:val="bottom"/>
        <w:rPr>
          <w:rFonts w:ascii="Arial" w:hAnsi="Arial" w:cs="Arial"/>
        </w:rPr>
      </w:pPr>
    </w:p>
    <w:p w14:paraId="0AECAE7F">
      <w:pPr>
        <w:widowControl/>
        <w:autoSpaceDE w:val="0"/>
        <w:autoSpaceDN w:val="0"/>
        <w:snapToGrid w:val="0"/>
        <w:spacing w:line="360" w:lineRule="auto"/>
        <w:textAlignment w:val="bottom"/>
        <w:rPr>
          <w:rFonts w:ascii="Arial" w:hAnsi="Arial" w:cs="Arial"/>
        </w:rPr>
      </w:pPr>
    </w:p>
    <w:p w14:paraId="34EEF236">
      <w:pPr>
        <w:widowControl/>
        <w:autoSpaceDE w:val="0"/>
        <w:autoSpaceDN w:val="0"/>
        <w:snapToGrid w:val="0"/>
        <w:spacing w:line="360" w:lineRule="auto"/>
        <w:textAlignment w:val="bottom"/>
        <w:rPr>
          <w:rFonts w:ascii="Arial" w:hAnsi="Arial" w:cs="Arial"/>
        </w:rPr>
      </w:pPr>
    </w:p>
    <w:p w14:paraId="4DCEE4AC">
      <w:pPr>
        <w:widowControl/>
        <w:autoSpaceDE w:val="0"/>
        <w:autoSpaceDN w:val="0"/>
        <w:snapToGrid w:val="0"/>
        <w:spacing w:line="360" w:lineRule="auto"/>
        <w:textAlignment w:val="bottom"/>
        <w:rPr>
          <w:rFonts w:ascii="Arial" w:hAnsi="Arial" w:cs="Arial"/>
        </w:rPr>
      </w:pPr>
    </w:p>
    <w:p w14:paraId="15277946">
      <w:pPr>
        <w:widowControl/>
        <w:autoSpaceDE w:val="0"/>
        <w:autoSpaceDN w:val="0"/>
        <w:snapToGrid w:val="0"/>
        <w:spacing w:line="360" w:lineRule="auto"/>
        <w:textAlignment w:val="bottom"/>
        <w:rPr>
          <w:rFonts w:ascii="Arial" w:hAnsi="Arial" w:cs="Arial"/>
        </w:rPr>
      </w:pPr>
    </w:p>
    <w:p w14:paraId="26641D4A">
      <w:pPr>
        <w:widowControl/>
        <w:autoSpaceDE w:val="0"/>
        <w:autoSpaceDN w:val="0"/>
        <w:snapToGrid w:val="0"/>
        <w:spacing w:line="360" w:lineRule="auto"/>
        <w:textAlignment w:val="bottom"/>
        <w:rPr>
          <w:rFonts w:ascii="Arial" w:hAnsi="Arial" w:cs="Arial"/>
        </w:rPr>
      </w:pPr>
    </w:p>
    <w:p w14:paraId="69C475D3">
      <w:pPr>
        <w:widowControl/>
        <w:autoSpaceDE w:val="0"/>
        <w:autoSpaceDN w:val="0"/>
        <w:snapToGrid w:val="0"/>
        <w:spacing w:line="360" w:lineRule="auto"/>
        <w:textAlignment w:val="bottom"/>
        <w:rPr>
          <w:rFonts w:ascii="Arial" w:hAnsi="Arial" w:cs="Arial"/>
        </w:rPr>
      </w:pPr>
    </w:p>
    <w:p w14:paraId="30E9069B">
      <w:pPr>
        <w:widowControl/>
        <w:autoSpaceDE w:val="0"/>
        <w:autoSpaceDN w:val="0"/>
        <w:snapToGrid w:val="0"/>
        <w:spacing w:line="360" w:lineRule="auto"/>
        <w:textAlignment w:val="bottom"/>
        <w:rPr>
          <w:rFonts w:ascii="Arial" w:hAnsi="Arial" w:cs="Arial"/>
        </w:rPr>
      </w:pPr>
    </w:p>
    <w:p w14:paraId="76AF31CF">
      <w:pPr>
        <w:widowControl/>
        <w:autoSpaceDE w:val="0"/>
        <w:autoSpaceDN w:val="0"/>
        <w:snapToGrid w:val="0"/>
        <w:spacing w:line="360" w:lineRule="auto"/>
        <w:textAlignment w:val="bottom"/>
        <w:rPr>
          <w:rFonts w:ascii="Arial" w:hAnsi="Arial" w:cs="Arial"/>
        </w:rPr>
      </w:pPr>
    </w:p>
    <w:p w14:paraId="3A16D9AC">
      <w:pPr>
        <w:widowControl/>
        <w:autoSpaceDE w:val="0"/>
        <w:autoSpaceDN w:val="0"/>
        <w:snapToGrid w:val="0"/>
        <w:spacing w:line="360" w:lineRule="auto"/>
        <w:textAlignment w:val="bottom"/>
        <w:rPr>
          <w:rFonts w:ascii="Arial" w:hAnsi="Arial" w:cs="Arial"/>
        </w:rPr>
      </w:pPr>
    </w:p>
    <w:p w14:paraId="19A95E8C">
      <w:pPr>
        <w:widowControl/>
        <w:autoSpaceDE w:val="0"/>
        <w:autoSpaceDN w:val="0"/>
        <w:snapToGrid w:val="0"/>
        <w:spacing w:line="360" w:lineRule="auto"/>
        <w:textAlignment w:val="bottom"/>
        <w:rPr>
          <w:rFonts w:ascii="Arial" w:hAnsi="Arial" w:cs="Arial"/>
        </w:rPr>
      </w:pPr>
    </w:p>
    <w:p w14:paraId="119CEA24">
      <w:pPr>
        <w:widowControl/>
        <w:autoSpaceDE w:val="0"/>
        <w:autoSpaceDN w:val="0"/>
        <w:snapToGrid w:val="0"/>
        <w:spacing w:line="360" w:lineRule="auto"/>
        <w:textAlignment w:val="bottom"/>
        <w:rPr>
          <w:rFonts w:ascii="Arial" w:hAnsi="Arial" w:cs="Arial"/>
        </w:rPr>
      </w:pPr>
    </w:p>
    <w:p w14:paraId="4BCF3348">
      <w:pPr>
        <w:widowControl/>
        <w:autoSpaceDE w:val="0"/>
        <w:autoSpaceDN w:val="0"/>
        <w:snapToGrid w:val="0"/>
        <w:spacing w:line="360" w:lineRule="auto"/>
        <w:textAlignment w:val="bottom"/>
        <w:rPr>
          <w:rFonts w:ascii="Arial" w:hAnsi="Arial" w:cs="Arial"/>
        </w:rPr>
      </w:pPr>
    </w:p>
    <w:p w14:paraId="66EF2094">
      <w:pPr>
        <w:widowControl/>
        <w:autoSpaceDE w:val="0"/>
        <w:autoSpaceDN w:val="0"/>
        <w:snapToGrid w:val="0"/>
        <w:spacing w:line="360" w:lineRule="auto"/>
        <w:textAlignment w:val="bottom"/>
        <w:rPr>
          <w:rFonts w:ascii="Arial" w:hAnsi="Arial" w:cs="Arial"/>
        </w:rPr>
      </w:pPr>
    </w:p>
    <w:p w14:paraId="7EC1BC48">
      <w:pPr>
        <w:widowControl/>
        <w:autoSpaceDE w:val="0"/>
        <w:autoSpaceDN w:val="0"/>
        <w:snapToGrid w:val="0"/>
        <w:spacing w:line="360" w:lineRule="auto"/>
        <w:textAlignment w:val="bottom"/>
        <w:rPr>
          <w:rFonts w:ascii="Arial" w:hAnsi="Arial" w:cs="Arial"/>
        </w:rPr>
      </w:pPr>
    </w:p>
    <w:p w14:paraId="69611349">
      <w:pPr>
        <w:widowControl/>
        <w:autoSpaceDE w:val="0"/>
        <w:autoSpaceDN w:val="0"/>
        <w:snapToGrid w:val="0"/>
        <w:spacing w:line="360" w:lineRule="auto"/>
        <w:textAlignment w:val="bottom"/>
        <w:rPr>
          <w:rFonts w:ascii="Arial" w:hAnsi="Arial" w:cs="Arial"/>
        </w:rPr>
      </w:pPr>
    </w:p>
    <w:p w14:paraId="4C2DBE8C">
      <w:pPr>
        <w:widowControl/>
        <w:autoSpaceDE w:val="0"/>
        <w:autoSpaceDN w:val="0"/>
        <w:snapToGrid w:val="0"/>
        <w:spacing w:line="360" w:lineRule="auto"/>
        <w:textAlignment w:val="bottom"/>
        <w:rPr>
          <w:rFonts w:ascii="Arial" w:hAnsi="Arial" w:cs="Arial"/>
        </w:rPr>
      </w:pPr>
    </w:p>
    <w:p w14:paraId="11F3D156">
      <w:pPr>
        <w:widowControl/>
        <w:autoSpaceDE w:val="0"/>
        <w:autoSpaceDN w:val="0"/>
        <w:snapToGrid w:val="0"/>
        <w:spacing w:line="360" w:lineRule="auto"/>
        <w:textAlignment w:val="bottom"/>
        <w:rPr>
          <w:rFonts w:ascii="Arial" w:hAnsi="Arial" w:cs="Arial"/>
        </w:rPr>
      </w:pPr>
    </w:p>
    <w:p w14:paraId="51B286DD">
      <w:pPr>
        <w:widowControl/>
        <w:autoSpaceDE w:val="0"/>
        <w:autoSpaceDN w:val="0"/>
        <w:snapToGrid w:val="0"/>
        <w:spacing w:line="360" w:lineRule="auto"/>
        <w:textAlignment w:val="bottom"/>
        <w:rPr>
          <w:rFonts w:ascii="Arial" w:hAnsi="Arial" w:cs="Arial"/>
        </w:rPr>
      </w:pPr>
    </w:p>
    <w:p w14:paraId="48ECB615">
      <w:pPr>
        <w:widowControl/>
        <w:autoSpaceDE w:val="0"/>
        <w:autoSpaceDN w:val="0"/>
        <w:snapToGrid w:val="0"/>
        <w:spacing w:line="360" w:lineRule="auto"/>
        <w:textAlignment w:val="bottom"/>
        <w:rPr>
          <w:rFonts w:ascii="Arial" w:hAnsi="Arial" w:cs="Arial"/>
        </w:rPr>
      </w:pPr>
    </w:p>
    <w:p w14:paraId="3C122FC0">
      <w:pPr>
        <w:widowControl/>
        <w:autoSpaceDE w:val="0"/>
        <w:autoSpaceDN w:val="0"/>
        <w:snapToGrid w:val="0"/>
        <w:spacing w:line="360" w:lineRule="auto"/>
        <w:textAlignment w:val="bottom"/>
        <w:rPr>
          <w:rFonts w:ascii="Arial" w:hAnsi="Arial" w:cs="Arial"/>
        </w:rPr>
      </w:pPr>
    </w:p>
    <w:p w14:paraId="20BEB6B6">
      <w:pPr>
        <w:widowControl/>
        <w:autoSpaceDE w:val="0"/>
        <w:autoSpaceDN w:val="0"/>
        <w:snapToGrid w:val="0"/>
        <w:spacing w:line="360" w:lineRule="auto"/>
        <w:textAlignment w:val="bottom"/>
        <w:rPr>
          <w:rFonts w:ascii="Arial" w:hAnsi="Arial" w:cs="Arial"/>
        </w:rPr>
      </w:pPr>
    </w:p>
    <w:p w14:paraId="4F74356A">
      <w:pPr>
        <w:pStyle w:val="2"/>
        <w:spacing w:before="156" w:beforeLines="50" w:after="156" w:afterLines="50" w:line="360" w:lineRule="auto"/>
        <w:jc w:val="left"/>
        <w:rPr>
          <w:rFonts w:ascii="Arial" w:hAnsi="Arial" w:cs="Arial"/>
          <w:sz w:val="28"/>
        </w:rPr>
      </w:pPr>
      <w:bookmarkStart w:id="77" w:name="_Toc31784"/>
      <w:r>
        <w:rPr>
          <w:rFonts w:ascii="Arial" w:hAnsi="Arial" w:cs="Arial"/>
          <w:sz w:val="28"/>
        </w:rPr>
        <w:t>附件12性能考核条款</w:t>
      </w:r>
      <w:bookmarkEnd w:id="77"/>
    </w:p>
    <w:p w14:paraId="3832006B">
      <w:pPr>
        <w:widowControl/>
        <w:autoSpaceDE w:val="0"/>
        <w:autoSpaceDN w:val="0"/>
        <w:snapToGrid w:val="0"/>
        <w:spacing w:line="360" w:lineRule="auto"/>
        <w:textAlignment w:val="bottom"/>
      </w:pPr>
      <w:r>
        <w:rPr>
          <w:rFonts w:hint="eastAsia"/>
        </w:rPr>
        <w:t>1. 由于投标人原因，影响安装与调试整体项目进度，每推迟一天投入运行扣除合同金额的0.1%；</w:t>
      </w:r>
    </w:p>
    <w:p w14:paraId="7146EBB3">
      <w:pPr>
        <w:widowControl/>
        <w:autoSpaceDE w:val="0"/>
        <w:autoSpaceDN w:val="0"/>
        <w:snapToGrid w:val="0"/>
        <w:spacing w:line="360" w:lineRule="auto"/>
        <w:textAlignment w:val="bottom"/>
      </w:pPr>
      <w:r>
        <w:rPr>
          <w:rFonts w:hint="eastAsia"/>
        </w:rPr>
        <w:t>2. 设备安装调试期间由于设备质量问题，导致设备损坏或不能正常运行，投标人必须3日内更换设备并维修，若达不到合同技术规范规定的要求每推迟一天考核1000元。</w:t>
      </w:r>
    </w:p>
    <w:p w14:paraId="48CD2245">
      <w:pPr>
        <w:widowControl/>
        <w:autoSpaceDE w:val="0"/>
        <w:autoSpaceDN w:val="0"/>
        <w:snapToGrid w:val="0"/>
        <w:spacing w:line="360" w:lineRule="auto"/>
        <w:textAlignment w:val="bottom"/>
      </w:pPr>
      <w:r>
        <w:rPr>
          <w:rFonts w:hint="eastAsia"/>
        </w:rPr>
        <w:t>3. 当试用期间局部发生故障，且从发现之日起投标人超过5日仍未能将其消除故障，以致影响调试工期，投标人除必须继续工作直至故障消除外，并考核1000-2000元/次。</w:t>
      </w:r>
    </w:p>
    <w:p w14:paraId="00A88ECE">
      <w:pPr>
        <w:widowControl/>
        <w:autoSpaceDE w:val="0"/>
        <w:autoSpaceDN w:val="0"/>
        <w:snapToGrid w:val="0"/>
        <w:spacing w:line="360" w:lineRule="auto"/>
        <w:textAlignment w:val="bottom"/>
      </w:pPr>
      <w:r>
        <w:rPr>
          <w:rFonts w:hint="eastAsia"/>
        </w:rPr>
        <w:t>4. 系统安装调试完成后，设备和系统的性能及技术指标达不到技术规范要求的，投标人必须在三天内予以更换，因更换而影响安装与调试整体项目进度的，每推迟一天投入运行扣除合同金额的0.1%；如更换后仍不能达到技术规范要求的，考核该套设备合同价10％的违约金。</w:t>
      </w:r>
    </w:p>
    <w:p w14:paraId="5D7B313A">
      <w:pPr>
        <w:widowControl/>
        <w:autoSpaceDE w:val="0"/>
        <w:autoSpaceDN w:val="0"/>
        <w:snapToGrid w:val="0"/>
        <w:spacing w:line="360" w:lineRule="auto"/>
        <w:textAlignment w:val="bottom"/>
      </w:pPr>
      <w:r>
        <w:rPr>
          <w:rFonts w:hint="eastAsia"/>
        </w:rPr>
        <w:t xml:space="preserve">5. </w:t>
      </w:r>
      <w:r>
        <w:rPr>
          <w:rFonts w:hint="eastAsia" w:ascii="宋体" w:hAnsi="宋体" w:cs="宋体"/>
        </w:rPr>
        <w:t>对项目实施过程中违反招标人及最终使用方有关规章制度的按相关考核标准进行考核。</w:t>
      </w:r>
    </w:p>
    <w:p w14:paraId="5A1C6758">
      <w:pPr>
        <w:widowControl/>
        <w:autoSpaceDE w:val="0"/>
        <w:autoSpaceDN w:val="0"/>
        <w:snapToGrid w:val="0"/>
        <w:spacing w:line="360" w:lineRule="auto"/>
        <w:textAlignment w:val="bottom"/>
      </w:pPr>
    </w:p>
    <w:p w14:paraId="0EB58825">
      <w:pPr>
        <w:widowControl/>
        <w:autoSpaceDE w:val="0"/>
        <w:autoSpaceDN w:val="0"/>
        <w:snapToGrid w:val="0"/>
        <w:spacing w:line="360" w:lineRule="auto"/>
        <w:textAlignment w:val="bottom"/>
        <w:rPr>
          <w:rFonts w:ascii="Arial" w:hAnsi="Arial" w:cs="Arial"/>
        </w:rPr>
      </w:pPr>
    </w:p>
    <w:p w14:paraId="65349981">
      <w:pPr>
        <w:widowControl/>
        <w:autoSpaceDE w:val="0"/>
        <w:autoSpaceDN w:val="0"/>
        <w:snapToGrid w:val="0"/>
        <w:spacing w:line="360" w:lineRule="auto"/>
        <w:textAlignment w:val="bottom"/>
        <w:rPr>
          <w:rFonts w:ascii="Arial" w:hAnsi="Arial" w:cs="Arial"/>
        </w:rPr>
      </w:pPr>
      <w:r>
        <w:rPr>
          <w:rFonts w:ascii="Arial" w:hAnsi="Arial" w:cs="Arial"/>
        </w:rPr>
        <w:br w:type="page"/>
      </w:r>
    </w:p>
    <w:p w14:paraId="2DF1CE32">
      <w:pPr>
        <w:pStyle w:val="2"/>
        <w:keepLines w:val="0"/>
        <w:spacing w:before="60" w:after="60" w:line="480" w:lineRule="auto"/>
        <w:jc w:val="left"/>
        <w:rPr>
          <w:rFonts w:hint="eastAsia" w:asciiTheme="minorEastAsia" w:hAnsiTheme="minorEastAsia" w:eastAsiaTheme="minorEastAsia"/>
          <w:color w:val="auto"/>
          <w:kern w:val="0"/>
          <w:sz w:val="28"/>
        </w:rPr>
      </w:pPr>
      <w:bookmarkStart w:id="78" w:name="_Toc31380"/>
      <w:r>
        <w:rPr>
          <w:rFonts w:asciiTheme="minorEastAsia" w:hAnsiTheme="minorEastAsia" w:eastAsiaTheme="minorEastAsia"/>
          <w:color w:val="auto"/>
          <w:kern w:val="0"/>
          <w:sz w:val="28"/>
        </w:rPr>
        <w:t>附件13</w:t>
      </w:r>
      <w:r>
        <w:rPr>
          <w:rFonts w:hint="eastAsia" w:asciiTheme="minorEastAsia" w:hAnsiTheme="minorEastAsia" w:eastAsiaTheme="minorEastAsia"/>
          <w:color w:val="auto"/>
          <w:kern w:val="0"/>
          <w:sz w:val="28"/>
        </w:rPr>
        <w:t>投标人</w:t>
      </w:r>
      <w:r>
        <w:rPr>
          <w:rFonts w:asciiTheme="minorEastAsia" w:hAnsiTheme="minorEastAsia" w:eastAsiaTheme="minorEastAsia"/>
          <w:color w:val="auto"/>
          <w:kern w:val="0"/>
          <w:sz w:val="28"/>
        </w:rPr>
        <w:t>需要说明的其他问题（技术特点、质保体系及售后服务承诺等）</w:t>
      </w:r>
      <w:bookmarkEnd w:id="78"/>
    </w:p>
    <w:p w14:paraId="30800FF5">
      <w:pPr>
        <w:spacing w:before="312" w:beforeLines="100" w:line="360" w:lineRule="auto"/>
        <w:ind w:firstLine="480" w:firstLineChars="200"/>
        <w:rPr>
          <w:rFonts w:hint="eastAsia" w:asciiTheme="minorEastAsia" w:hAnsiTheme="minorEastAsia" w:eastAsiaTheme="minorEastAsia"/>
          <w:szCs w:val="24"/>
        </w:rPr>
      </w:pPr>
      <w:r>
        <w:rPr>
          <w:rFonts w:hint="eastAsia" w:asciiTheme="minorEastAsia" w:hAnsiTheme="minorEastAsia" w:eastAsiaTheme="minorEastAsia"/>
          <w:szCs w:val="24"/>
        </w:rPr>
        <w:t>投标人提供在专业技术、设备设施、人员组织、业绩经验等方面具有设计、制造、质量控制、经营管理的相应的资格和能力的资料。</w:t>
      </w:r>
    </w:p>
    <w:p w14:paraId="3BF101E5">
      <w:pPr>
        <w:widowControl/>
        <w:autoSpaceDE w:val="0"/>
        <w:autoSpaceDN w:val="0"/>
        <w:snapToGrid w:val="0"/>
        <w:spacing w:line="360" w:lineRule="auto"/>
        <w:textAlignment w:val="bottom"/>
        <w:rPr>
          <w:rFonts w:ascii="Arial" w:hAnsi="Arial" w:cs="Arial"/>
        </w:rPr>
      </w:pPr>
    </w:p>
    <w:p w14:paraId="27E28A81">
      <w:pPr>
        <w:widowControl/>
        <w:autoSpaceDE w:val="0"/>
        <w:autoSpaceDN w:val="0"/>
        <w:snapToGrid w:val="0"/>
        <w:spacing w:line="360" w:lineRule="auto"/>
        <w:textAlignment w:val="bottom"/>
        <w:rPr>
          <w:rFonts w:ascii="Arial" w:hAnsi="Arial" w:cs="Arial"/>
        </w:rPr>
      </w:pPr>
    </w:p>
    <w:p w14:paraId="38E84850">
      <w:pPr>
        <w:widowControl/>
        <w:autoSpaceDE w:val="0"/>
        <w:autoSpaceDN w:val="0"/>
        <w:snapToGrid w:val="0"/>
        <w:spacing w:line="360" w:lineRule="auto"/>
        <w:textAlignment w:val="bottom"/>
        <w:rPr>
          <w:rFonts w:ascii="Arial" w:hAnsi="Arial" w:cs="Arial"/>
        </w:rPr>
      </w:pPr>
    </w:p>
    <w:bookmarkEnd w:id="13"/>
    <w:bookmarkEnd w:id="14"/>
    <w:bookmarkEnd w:id="15"/>
    <w:bookmarkEnd w:id="16"/>
    <w:bookmarkEnd w:id="17"/>
    <w:bookmarkEnd w:id="18"/>
    <w:bookmarkEnd w:id="19"/>
    <w:bookmarkEnd w:id="20"/>
    <w:bookmarkEnd w:id="21"/>
    <w:p w14:paraId="422AE98C">
      <w:pPr>
        <w:spacing w:line="360" w:lineRule="auto"/>
        <w:rPr>
          <w:rFonts w:ascii="Arial" w:hAnsi="Arial" w:cs="Arial"/>
        </w:rPr>
      </w:pPr>
    </w:p>
    <w:p w14:paraId="034E7A74"/>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Tms Rmn">
    <w:altName w:val="Segoe Print"/>
    <w:panose1 w:val="02020603040505020304"/>
    <w:charset w:val="00"/>
    <w:family w:val="roman"/>
    <w:pitch w:val="default"/>
    <w:sig w:usb0="00000000" w:usb1="00000000" w:usb2="00000000" w:usb3="00000000" w:csb0="00000001" w:csb1="00000000"/>
  </w:font>
  <w:font w:name="Arial Unicode MS">
    <w:panose1 w:val="020B0604020202020204"/>
    <w:charset w:val="86"/>
    <w:family w:val="roman"/>
    <w:pitch w:val="default"/>
    <w:sig w:usb0="FFFFFFFF" w:usb1="E9FFFFFF" w:usb2="0000003F" w:usb3="00000000" w:csb0="603F01FF" w:csb1="FFFF0000"/>
  </w:font>
  <w:font w:name="仿宋_GB2312">
    <w:panose1 w:val="02010609030101010101"/>
    <w:charset w:val="86"/>
    <w:family w:val="modern"/>
    <w:pitch w:val="default"/>
    <w:sig w:usb0="00000001" w:usb1="080E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653D55">
    <w:pPr>
      <w:pStyle w:val="27"/>
      <w:jc w:val="center"/>
    </w:pPr>
  </w:p>
  <w:p w14:paraId="56EED260">
    <w:pPr>
      <w:pStyle w:val="2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86AD6A">
    <w:pPr>
      <w:pStyle w:val="2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98EB1E">
    <w:pPr>
      <w:pStyle w:val="27"/>
      <w:jc w:val="center"/>
    </w:pPr>
    <w:r>
      <w:fldChar w:fldCharType="begin"/>
    </w:r>
    <w:r>
      <w:instrText xml:space="preserve"> PAGE   \* MERGEFORMAT </w:instrText>
    </w:r>
    <w:r>
      <w:fldChar w:fldCharType="separate"/>
    </w:r>
    <w:r>
      <w:rPr>
        <w:lang w:val="zh-CN"/>
      </w:rPr>
      <w:t>29</w:t>
    </w:r>
    <w:r>
      <w:rPr>
        <w:lang w:val="zh-CN"/>
      </w:rPr>
      <w:fldChar w:fldCharType="end"/>
    </w:r>
  </w:p>
  <w:p w14:paraId="6880BCAE">
    <w:pPr>
      <w:pStyle w:val="2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9577777"/>
      <w:showingPlcHdr/>
    </w:sdtPr>
    <w:sdtContent>
      <w:p w14:paraId="7EEEE159">
        <w:pPr>
          <w:pStyle w:val="27"/>
          <w:jc w:val="center"/>
        </w:pP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189B06">
    <w:pPr>
      <w:pStyle w:val="2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833DAE">
    <w:pPr>
      <w:pStyle w:val="2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76D0B4">
    <w:pPr>
      <w:pStyle w:val="28"/>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B5A60E">
    <w:pPr>
      <w:pStyle w:val="28"/>
      <w:rPr>
        <w:szCs w:val="18"/>
      </w:rPr>
    </w:pPr>
    <w:r>
      <w:rPr>
        <w:rFonts w:hint="eastAsia"/>
        <w:szCs w:val="18"/>
      </w:rPr>
      <w:t>浙能嘉兴电厂四期扩建项目1</w:t>
    </w:r>
    <w:r>
      <w:rPr>
        <w:szCs w:val="18"/>
      </w:rPr>
      <w:t>0</w:t>
    </w:r>
    <w:r>
      <w:rPr>
        <w:rFonts w:hint="eastAsia"/>
        <w:szCs w:val="18"/>
      </w:rPr>
      <w:t>号机组集控室LED大屏显示系统技术规范书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8"/>
    <w:multiLevelType w:val="multilevel"/>
    <w:tmpl w:val="00000008"/>
    <w:lvl w:ilvl="0" w:tentative="0">
      <w:start w:val="1"/>
      <w:numFmt w:val="upperRoman"/>
      <w:pStyle w:val="5"/>
      <w:lvlText w:val="%1."/>
      <w:lvlJc w:val="left"/>
      <w:pPr>
        <w:ind w:left="720" w:hanging="720"/>
      </w:pPr>
    </w:lvl>
    <w:lvl w:ilvl="1" w:tentative="0">
      <w:start w:val="1"/>
      <w:numFmt w:val="upperLetter"/>
      <w:lvlText w:val="%2."/>
      <w:lvlJc w:val="left"/>
      <w:pPr>
        <w:ind w:left="1440" w:hanging="720"/>
      </w:pPr>
    </w:lvl>
    <w:lvl w:ilvl="2" w:tentative="0">
      <w:start w:val="1"/>
      <w:numFmt w:val="decimal"/>
      <w:lvlText w:val="%3."/>
      <w:lvlJc w:val="left"/>
      <w:pPr>
        <w:ind w:left="2160" w:hanging="720"/>
      </w:pPr>
    </w:lvl>
    <w:lvl w:ilvl="3" w:tentative="0">
      <w:start w:val="1"/>
      <w:numFmt w:val="lowerLetter"/>
      <w:lvlText w:val="%4)"/>
      <w:lvlJc w:val="left"/>
      <w:pPr>
        <w:ind w:left="2880" w:hanging="720"/>
      </w:pPr>
    </w:lvl>
    <w:lvl w:ilvl="4" w:tentative="0">
      <w:start w:val="1"/>
      <w:numFmt w:val="decimal"/>
      <w:lvlText w:val="(%5)"/>
      <w:lvlJc w:val="left"/>
      <w:pPr>
        <w:ind w:left="3600" w:hanging="720"/>
      </w:pPr>
    </w:lvl>
    <w:lvl w:ilvl="5" w:tentative="0">
      <w:start w:val="1"/>
      <w:numFmt w:val="lowerLetter"/>
      <w:lvlText w:val="(%6)"/>
      <w:lvlJc w:val="left"/>
      <w:pPr>
        <w:ind w:left="4320" w:hanging="720"/>
      </w:pPr>
    </w:lvl>
    <w:lvl w:ilvl="6" w:tentative="0">
      <w:start w:val="1"/>
      <w:numFmt w:val="lowerRoman"/>
      <w:lvlText w:val="(%7)"/>
      <w:lvlJc w:val="left"/>
      <w:pPr>
        <w:ind w:left="5040" w:hanging="720"/>
      </w:pPr>
    </w:lvl>
    <w:lvl w:ilvl="7" w:tentative="0">
      <w:start w:val="1"/>
      <w:numFmt w:val="lowerLetter"/>
      <w:lvlText w:val="(%8)"/>
      <w:lvlJc w:val="left"/>
      <w:pPr>
        <w:ind w:left="5760" w:hanging="720"/>
      </w:pPr>
    </w:lvl>
    <w:lvl w:ilvl="8" w:tentative="0">
      <w:start w:val="1"/>
      <w:numFmt w:val="lowerRoman"/>
      <w:lvlText w:val="(%9)"/>
      <w:lvlJc w:val="left"/>
      <w:pPr>
        <w:ind w:left="6480" w:hanging="720"/>
      </w:pPr>
    </w:lvl>
  </w:abstractNum>
  <w:abstractNum w:abstractNumId="1">
    <w:nsid w:val="00000010"/>
    <w:multiLevelType w:val="multilevel"/>
    <w:tmpl w:val="00000010"/>
    <w:lvl w:ilvl="0" w:tentative="0">
      <w:start w:val="1"/>
      <w:numFmt w:val="decimal"/>
      <w:lvlText w:val="（%1）"/>
      <w:lvlJc w:val="left"/>
      <w:pPr>
        <w:tabs>
          <w:tab w:val="left" w:pos="1200"/>
        </w:tabs>
        <w:ind w:left="1200" w:hanging="720"/>
      </w:pPr>
      <w:rPr>
        <w:rFonts w:hint="eastAsia"/>
        <w:lang w:val="en-US"/>
      </w:rPr>
    </w:lvl>
    <w:lvl w:ilvl="1" w:tentative="0">
      <w:start w:val="1"/>
      <w:numFmt w:val="lowerLetter"/>
      <w:lvlText w:val="%2)"/>
      <w:lvlJc w:val="left"/>
      <w:pPr>
        <w:tabs>
          <w:tab w:val="left" w:pos="894"/>
        </w:tabs>
        <w:ind w:left="894" w:hanging="420"/>
      </w:pPr>
    </w:lvl>
    <w:lvl w:ilvl="2" w:tentative="0">
      <w:start w:val="1"/>
      <w:numFmt w:val="lowerRoman"/>
      <w:lvlText w:val="%3."/>
      <w:lvlJc w:val="right"/>
      <w:pPr>
        <w:tabs>
          <w:tab w:val="left" w:pos="1314"/>
        </w:tabs>
        <w:ind w:left="1314" w:hanging="420"/>
      </w:pPr>
    </w:lvl>
    <w:lvl w:ilvl="3" w:tentative="0">
      <w:start w:val="1"/>
      <w:numFmt w:val="decimal"/>
      <w:lvlText w:val="%4."/>
      <w:lvlJc w:val="left"/>
      <w:pPr>
        <w:tabs>
          <w:tab w:val="left" w:pos="1734"/>
        </w:tabs>
        <w:ind w:left="1734" w:hanging="420"/>
      </w:pPr>
    </w:lvl>
    <w:lvl w:ilvl="4" w:tentative="0">
      <w:start w:val="1"/>
      <w:numFmt w:val="lowerLetter"/>
      <w:lvlText w:val="%5)"/>
      <w:lvlJc w:val="left"/>
      <w:pPr>
        <w:tabs>
          <w:tab w:val="left" w:pos="2154"/>
        </w:tabs>
        <w:ind w:left="2154" w:hanging="420"/>
      </w:pPr>
    </w:lvl>
    <w:lvl w:ilvl="5" w:tentative="0">
      <w:start w:val="1"/>
      <w:numFmt w:val="lowerRoman"/>
      <w:lvlText w:val="%6."/>
      <w:lvlJc w:val="right"/>
      <w:pPr>
        <w:tabs>
          <w:tab w:val="left" w:pos="2574"/>
        </w:tabs>
        <w:ind w:left="2574" w:hanging="420"/>
      </w:pPr>
    </w:lvl>
    <w:lvl w:ilvl="6" w:tentative="0">
      <w:start w:val="1"/>
      <w:numFmt w:val="decimal"/>
      <w:lvlText w:val="%7."/>
      <w:lvlJc w:val="left"/>
      <w:pPr>
        <w:tabs>
          <w:tab w:val="left" w:pos="2994"/>
        </w:tabs>
        <w:ind w:left="2994" w:hanging="420"/>
      </w:pPr>
    </w:lvl>
    <w:lvl w:ilvl="7" w:tentative="0">
      <w:start w:val="1"/>
      <w:numFmt w:val="lowerLetter"/>
      <w:lvlText w:val="%8)"/>
      <w:lvlJc w:val="left"/>
      <w:pPr>
        <w:tabs>
          <w:tab w:val="left" w:pos="3414"/>
        </w:tabs>
        <w:ind w:left="3414" w:hanging="420"/>
      </w:pPr>
    </w:lvl>
    <w:lvl w:ilvl="8" w:tentative="0">
      <w:start w:val="1"/>
      <w:numFmt w:val="lowerRoman"/>
      <w:lvlText w:val="%9."/>
      <w:lvlJc w:val="right"/>
      <w:pPr>
        <w:tabs>
          <w:tab w:val="left" w:pos="3834"/>
        </w:tabs>
        <w:ind w:left="3834" w:hanging="420"/>
      </w:pPr>
    </w:lvl>
  </w:abstractNum>
  <w:abstractNum w:abstractNumId="2">
    <w:nsid w:val="63FF77B0"/>
    <w:multiLevelType w:val="multilevel"/>
    <w:tmpl w:val="63FF77B0"/>
    <w:lvl w:ilvl="0" w:tentative="0">
      <w:start w:val="1"/>
      <w:numFmt w:val="decimal"/>
      <w:pStyle w:val="92"/>
      <w:lvlText w:val="%1"/>
      <w:lvlJc w:val="left"/>
      <w:pPr>
        <w:tabs>
          <w:tab w:val="left" w:pos="0"/>
        </w:tabs>
        <w:ind w:left="0" w:firstLine="0"/>
      </w:pPr>
      <w:rPr>
        <w:rFonts w:hint="eastAsia"/>
      </w:rPr>
    </w:lvl>
    <w:lvl w:ilvl="1" w:tentative="0">
      <w:start w:val="1"/>
      <w:numFmt w:val="decimal"/>
      <w:lvlText w:val="%1.%2"/>
      <w:lvlJc w:val="left"/>
      <w:pPr>
        <w:tabs>
          <w:tab w:val="left" w:pos="340"/>
        </w:tabs>
        <w:ind w:left="0" w:firstLine="0"/>
      </w:pPr>
      <w:rPr>
        <w:rFonts w:hint="eastAsia"/>
        <w:sz w:val="24"/>
        <w:szCs w:val="24"/>
      </w:rPr>
    </w:lvl>
    <w:lvl w:ilvl="2" w:tentative="0">
      <w:start w:val="1"/>
      <w:numFmt w:val="decimal"/>
      <w:lvlText w:val="%1.%2.%3"/>
      <w:lvlJc w:val="left"/>
      <w:pPr>
        <w:tabs>
          <w:tab w:val="left" w:pos="454"/>
        </w:tabs>
        <w:ind w:left="0" w:firstLine="0"/>
      </w:pPr>
      <w:rPr>
        <w:rFonts w:hint="default" w:ascii="Times New Roman" w:hAnsi="Times New Roman" w:cs="Times New Roman"/>
        <w:sz w:val="24"/>
        <w:szCs w:val="24"/>
      </w:rPr>
    </w:lvl>
    <w:lvl w:ilvl="3" w:tentative="0">
      <w:start w:val="1"/>
      <w:numFmt w:val="decimal"/>
      <w:lvlText w:val="%1.%2.%3.%4"/>
      <w:lvlJc w:val="left"/>
      <w:pPr>
        <w:tabs>
          <w:tab w:val="left" w:pos="0"/>
        </w:tabs>
        <w:ind w:left="0" w:firstLine="0"/>
      </w:pPr>
      <w:rPr>
        <w:rFonts w:hint="default" w:ascii="Times New Roman" w:hAnsi="Times New Roman" w:cs="Times New Roman"/>
        <w:b w:val="0"/>
        <w:sz w:val="24"/>
        <w:szCs w:val="24"/>
      </w:rPr>
    </w:lvl>
    <w:lvl w:ilvl="4" w:tentative="0">
      <w:start w:val="1"/>
      <w:numFmt w:val="decimal"/>
      <w:lvlText w:val="%1.%2.%3.%4.%5"/>
      <w:lvlJc w:val="left"/>
      <w:pPr>
        <w:tabs>
          <w:tab w:val="left" w:pos="0"/>
        </w:tabs>
        <w:ind w:left="0" w:firstLine="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revisionView w:markup="0"/>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RlZWFjMzAwYjFiOWM3YTE1MDI0ZGQ0MGI5MTc4ZGQifQ=="/>
  </w:docVars>
  <w:rsids>
    <w:rsidRoot w:val="00300EC3"/>
    <w:rsid w:val="00006E4B"/>
    <w:rsid w:val="0001060C"/>
    <w:rsid w:val="00031D02"/>
    <w:rsid w:val="00042D92"/>
    <w:rsid w:val="00067881"/>
    <w:rsid w:val="000829F5"/>
    <w:rsid w:val="00085C27"/>
    <w:rsid w:val="000A1CCC"/>
    <w:rsid w:val="000B584E"/>
    <w:rsid w:val="000C51D7"/>
    <w:rsid w:val="000D29E0"/>
    <w:rsid w:val="000D46D6"/>
    <w:rsid w:val="000D566C"/>
    <w:rsid w:val="000E0F6D"/>
    <w:rsid w:val="0010622E"/>
    <w:rsid w:val="00111E6E"/>
    <w:rsid w:val="00135F47"/>
    <w:rsid w:val="00137034"/>
    <w:rsid w:val="00180EB0"/>
    <w:rsid w:val="001A1F59"/>
    <w:rsid w:val="001E2942"/>
    <w:rsid w:val="001E5C47"/>
    <w:rsid w:val="00223FD5"/>
    <w:rsid w:val="002260D7"/>
    <w:rsid w:val="00242EAF"/>
    <w:rsid w:val="00287B70"/>
    <w:rsid w:val="002904ED"/>
    <w:rsid w:val="00297ACD"/>
    <w:rsid w:val="002A5EF5"/>
    <w:rsid w:val="002A7037"/>
    <w:rsid w:val="002E0EC0"/>
    <w:rsid w:val="002E18C6"/>
    <w:rsid w:val="002E53C4"/>
    <w:rsid w:val="002F1B5D"/>
    <w:rsid w:val="00300EC3"/>
    <w:rsid w:val="00301287"/>
    <w:rsid w:val="003037A3"/>
    <w:rsid w:val="00312238"/>
    <w:rsid w:val="00321C49"/>
    <w:rsid w:val="00322CD5"/>
    <w:rsid w:val="00384DD5"/>
    <w:rsid w:val="003F38D7"/>
    <w:rsid w:val="00405917"/>
    <w:rsid w:val="004256B8"/>
    <w:rsid w:val="00432277"/>
    <w:rsid w:val="004345B9"/>
    <w:rsid w:val="00442054"/>
    <w:rsid w:val="0045023C"/>
    <w:rsid w:val="00452A91"/>
    <w:rsid w:val="00454F1D"/>
    <w:rsid w:val="00493710"/>
    <w:rsid w:val="004A503E"/>
    <w:rsid w:val="004D28B9"/>
    <w:rsid w:val="004F4CB1"/>
    <w:rsid w:val="00511BA3"/>
    <w:rsid w:val="00525181"/>
    <w:rsid w:val="005475A2"/>
    <w:rsid w:val="005675AC"/>
    <w:rsid w:val="005C69A0"/>
    <w:rsid w:val="005E35F2"/>
    <w:rsid w:val="0060606B"/>
    <w:rsid w:val="006305DD"/>
    <w:rsid w:val="0063580C"/>
    <w:rsid w:val="00636CD5"/>
    <w:rsid w:val="00640CB6"/>
    <w:rsid w:val="00664B09"/>
    <w:rsid w:val="00667AFE"/>
    <w:rsid w:val="00680513"/>
    <w:rsid w:val="006D75DB"/>
    <w:rsid w:val="006F050D"/>
    <w:rsid w:val="00753833"/>
    <w:rsid w:val="007A71DC"/>
    <w:rsid w:val="007D6358"/>
    <w:rsid w:val="007E692D"/>
    <w:rsid w:val="00804290"/>
    <w:rsid w:val="008072F3"/>
    <w:rsid w:val="0084595F"/>
    <w:rsid w:val="00845F92"/>
    <w:rsid w:val="00852874"/>
    <w:rsid w:val="00860DAE"/>
    <w:rsid w:val="00865960"/>
    <w:rsid w:val="00873D15"/>
    <w:rsid w:val="00874ACB"/>
    <w:rsid w:val="00880AB1"/>
    <w:rsid w:val="00883135"/>
    <w:rsid w:val="008A16E4"/>
    <w:rsid w:val="008B387D"/>
    <w:rsid w:val="00901813"/>
    <w:rsid w:val="0090256C"/>
    <w:rsid w:val="009056AC"/>
    <w:rsid w:val="00910767"/>
    <w:rsid w:val="009256F8"/>
    <w:rsid w:val="009271D0"/>
    <w:rsid w:val="009538F9"/>
    <w:rsid w:val="0096302F"/>
    <w:rsid w:val="00964C96"/>
    <w:rsid w:val="009862EA"/>
    <w:rsid w:val="009961F8"/>
    <w:rsid w:val="009B3200"/>
    <w:rsid w:val="009D15AB"/>
    <w:rsid w:val="009D67CB"/>
    <w:rsid w:val="009F17B6"/>
    <w:rsid w:val="009F7A7B"/>
    <w:rsid w:val="00A55D6A"/>
    <w:rsid w:val="00AA3DB2"/>
    <w:rsid w:val="00AE416B"/>
    <w:rsid w:val="00B0237D"/>
    <w:rsid w:val="00B02DC6"/>
    <w:rsid w:val="00B11BA8"/>
    <w:rsid w:val="00B20029"/>
    <w:rsid w:val="00B36A27"/>
    <w:rsid w:val="00B67E11"/>
    <w:rsid w:val="00B709A6"/>
    <w:rsid w:val="00B71F0A"/>
    <w:rsid w:val="00BB0C65"/>
    <w:rsid w:val="00BB5068"/>
    <w:rsid w:val="00BD13AB"/>
    <w:rsid w:val="00BD5216"/>
    <w:rsid w:val="00C05418"/>
    <w:rsid w:val="00C11308"/>
    <w:rsid w:val="00C244AA"/>
    <w:rsid w:val="00C25115"/>
    <w:rsid w:val="00C373DB"/>
    <w:rsid w:val="00C452EA"/>
    <w:rsid w:val="00C53410"/>
    <w:rsid w:val="00CA01CC"/>
    <w:rsid w:val="00D30B98"/>
    <w:rsid w:val="00D45749"/>
    <w:rsid w:val="00D62861"/>
    <w:rsid w:val="00D65EC9"/>
    <w:rsid w:val="00D81EF4"/>
    <w:rsid w:val="00DB5A10"/>
    <w:rsid w:val="00DD1A1F"/>
    <w:rsid w:val="00DF30A4"/>
    <w:rsid w:val="00DF6775"/>
    <w:rsid w:val="00E27D9B"/>
    <w:rsid w:val="00E512E1"/>
    <w:rsid w:val="00E53B88"/>
    <w:rsid w:val="00E9698E"/>
    <w:rsid w:val="00EB0638"/>
    <w:rsid w:val="00EB1894"/>
    <w:rsid w:val="00ED2D53"/>
    <w:rsid w:val="00EF54EC"/>
    <w:rsid w:val="00F12D2F"/>
    <w:rsid w:val="00F2468A"/>
    <w:rsid w:val="00F33510"/>
    <w:rsid w:val="00F56574"/>
    <w:rsid w:val="00F640EA"/>
    <w:rsid w:val="00F71716"/>
    <w:rsid w:val="00F76C2D"/>
    <w:rsid w:val="00F81E16"/>
    <w:rsid w:val="00FA194A"/>
    <w:rsid w:val="00FC6261"/>
    <w:rsid w:val="09874432"/>
    <w:rsid w:val="0A8F0B84"/>
    <w:rsid w:val="0C5C593E"/>
    <w:rsid w:val="0DE908CA"/>
    <w:rsid w:val="138241CA"/>
    <w:rsid w:val="15597637"/>
    <w:rsid w:val="164C23F6"/>
    <w:rsid w:val="18560C21"/>
    <w:rsid w:val="19B73CF3"/>
    <w:rsid w:val="1D1817BD"/>
    <w:rsid w:val="1F6A0B9D"/>
    <w:rsid w:val="25072C0B"/>
    <w:rsid w:val="27F81959"/>
    <w:rsid w:val="2EDC2731"/>
    <w:rsid w:val="32524331"/>
    <w:rsid w:val="35614FDA"/>
    <w:rsid w:val="36BE08C6"/>
    <w:rsid w:val="38EE19EB"/>
    <w:rsid w:val="441C401D"/>
    <w:rsid w:val="44686755"/>
    <w:rsid w:val="45A900A4"/>
    <w:rsid w:val="49E94EA5"/>
    <w:rsid w:val="4E723BF8"/>
    <w:rsid w:val="4ED64D6F"/>
    <w:rsid w:val="50D32E24"/>
    <w:rsid w:val="51477A0B"/>
    <w:rsid w:val="519875D7"/>
    <w:rsid w:val="51D27C14"/>
    <w:rsid w:val="539C051E"/>
    <w:rsid w:val="53D71B62"/>
    <w:rsid w:val="57AB53FF"/>
    <w:rsid w:val="59822285"/>
    <w:rsid w:val="5A787200"/>
    <w:rsid w:val="6067789D"/>
    <w:rsid w:val="672804F6"/>
    <w:rsid w:val="67797B0B"/>
    <w:rsid w:val="6BF53A39"/>
    <w:rsid w:val="6FBADE02"/>
    <w:rsid w:val="6FF432C5"/>
    <w:rsid w:val="774C3D51"/>
    <w:rsid w:val="79921C19"/>
    <w:rsid w:val="7B9D2C90"/>
    <w:rsid w:val="7C790D0B"/>
    <w:rsid w:val="7C7951F0"/>
    <w:rsid w:val="7CE851D0"/>
    <w:rsid w:val="7D800DA0"/>
    <w:rsid w:val="7ED0404A"/>
    <w:rsid w:val="7F907B7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qFormat="1" w:uiPriority="0" w:semiHidden="0" w:name="toa heading"/>
    <w:lsdException w:qFormat="1" w:unhideWhenUsed="0" w:uiPriority="0" w:semiHidden="0" w:name="List"/>
    <w:lsdException w:qFormat="1" w:unhideWhenUsed="0" w:uiPriority="0" w:semiHidden="0"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paragraph" w:styleId="2">
    <w:name w:val="heading 1"/>
    <w:basedOn w:val="1"/>
    <w:next w:val="1"/>
    <w:link w:val="51"/>
    <w:qFormat/>
    <w:uiPriority w:val="0"/>
    <w:pPr>
      <w:keepNext/>
      <w:keepLines/>
      <w:spacing w:line="500" w:lineRule="exact"/>
      <w:jc w:val="center"/>
      <w:outlineLvl w:val="0"/>
    </w:pPr>
    <w:rPr>
      <w:rFonts w:ascii="宋体" w:hAnsi="宋体"/>
      <w:b/>
      <w:color w:val="000000"/>
      <w:kern w:val="44"/>
      <w:sz w:val="48"/>
    </w:rPr>
  </w:style>
  <w:style w:type="paragraph" w:styleId="3">
    <w:name w:val="heading 2"/>
    <w:basedOn w:val="1"/>
    <w:next w:val="1"/>
    <w:link w:val="52"/>
    <w:qFormat/>
    <w:uiPriority w:val="0"/>
    <w:pPr>
      <w:keepNext/>
      <w:keepLines/>
      <w:spacing w:before="260" w:after="260" w:line="416" w:lineRule="atLeast"/>
      <w:outlineLvl w:val="1"/>
    </w:pPr>
    <w:rPr>
      <w:rFonts w:ascii="宋体" w:hAnsi="Arial"/>
      <w:b/>
      <w:snapToGrid w:val="0"/>
      <w:sz w:val="28"/>
    </w:rPr>
  </w:style>
  <w:style w:type="paragraph" w:styleId="4">
    <w:name w:val="heading 3"/>
    <w:basedOn w:val="1"/>
    <w:next w:val="1"/>
    <w:link w:val="53"/>
    <w:qFormat/>
    <w:uiPriority w:val="0"/>
    <w:pPr>
      <w:keepNext/>
      <w:keepLines/>
      <w:spacing w:before="260" w:after="260" w:line="416" w:lineRule="atLeast"/>
      <w:outlineLvl w:val="2"/>
    </w:pPr>
    <w:rPr>
      <w:b/>
      <w:sz w:val="32"/>
    </w:rPr>
  </w:style>
  <w:style w:type="paragraph" w:styleId="5">
    <w:name w:val="heading 4"/>
    <w:basedOn w:val="1"/>
    <w:next w:val="6"/>
    <w:link w:val="54"/>
    <w:qFormat/>
    <w:uiPriority w:val="0"/>
    <w:pPr>
      <w:keepNext/>
      <w:numPr>
        <w:ilvl w:val="0"/>
        <w:numId w:val="1"/>
      </w:numPr>
      <w:spacing w:line="360" w:lineRule="auto"/>
      <w:outlineLvl w:val="3"/>
    </w:pPr>
    <w:rPr>
      <w:rFonts w:ascii="宋体"/>
      <w:i/>
    </w:rPr>
  </w:style>
  <w:style w:type="paragraph" w:styleId="7">
    <w:name w:val="heading 5"/>
    <w:basedOn w:val="1"/>
    <w:next w:val="1"/>
    <w:link w:val="55"/>
    <w:qFormat/>
    <w:uiPriority w:val="0"/>
    <w:pPr>
      <w:spacing w:line="460" w:lineRule="exact"/>
      <w:ind w:left="3600" w:firstLine="510"/>
      <w:outlineLvl w:val="4"/>
    </w:pPr>
  </w:style>
  <w:style w:type="paragraph" w:styleId="8">
    <w:name w:val="heading 6"/>
    <w:basedOn w:val="1"/>
    <w:next w:val="1"/>
    <w:link w:val="56"/>
    <w:qFormat/>
    <w:uiPriority w:val="0"/>
    <w:pPr>
      <w:spacing w:line="460" w:lineRule="exact"/>
      <w:ind w:left="4320" w:firstLine="510"/>
      <w:outlineLvl w:val="5"/>
    </w:pPr>
  </w:style>
  <w:style w:type="paragraph" w:styleId="9">
    <w:name w:val="heading 7"/>
    <w:basedOn w:val="1"/>
    <w:next w:val="1"/>
    <w:link w:val="57"/>
    <w:qFormat/>
    <w:uiPriority w:val="0"/>
    <w:pPr>
      <w:spacing w:line="460" w:lineRule="exact"/>
      <w:ind w:left="964" w:hanging="340"/>
      <w:outlineLvl w:val="6"/>
    </w:pPr>
  </w:style>
  <w:style w:type="paragraph" w:styleId="10">
    <w:name w:val="heading 8"/>
    <w:basedOn w:val="1"/>
    <w:next w:val="1"/>
    <w:link w:val="58"/>
    <w:qFormat/>
    <w:uiPriority w:val="0"/>
    <w:pPr>
      <w:spacing w:line="460" w:lineRule="exact"/>
      <w:ind w:left="1021" w:hanging="284"/>
      <w:outlineLvl w:val="7"/>
    </w:pPr>
  </w:style>
  <w:style w:type="paragraph" w:styleId="11">
    <w:name w:val="heading 9"/>
    <w:basedOn w:val="1"/>
    <w:next w:val="1"/>
    <w:link w:val="59"/>
    <w:qFormat/>
    <w:uiPriority w:val="0"/>
    <w:pPr>
      <w:keepNext/>
      <w:keepLines/>
      <w:spacing w:before="240" w:after="64" w:line="320" w:lineRule="atLeast"/>
      <w:ind w:left="6480" w:hanging="720"/>
      <w:outlineLvl w:val="8"/>
    </w:pPr>
    <w:rPr>
      <w:rFonts w:ascii="Arial" w:hAnsi="Arial" w:eastAsia="黑体"/>
    </w:rPr>
  </w:style>
  <w:style w:type="character" w:default="1" w:styleId="44">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pPr>
  </w:style>
  <w:style w:type="paragraph" w:styleId="12">
    <w:name w:val="toc 7"/>
    <w:basedOn w:val="1"/>
    <w:next w:val="1"/>
    <w:qFormat/>
    <w:uiPriority w:val="0"/>
    <w:pPr>
      <w:ind w:left="1440"/>
    </w:pPr>
    <w:rPr>
      <w:sz w:val="18"/>
    </w:rPr>
  </w:style>
  <w:style w:type="paragraph" w:styleId="13">
    <w:name w:val="List Bullet"/>
    <w:basedOn w:val="1"/>
    <w:qFormat/>
    <w:uiPriority w:val="0"/>
    <w:pPr>
      <w:tabs>
        <w:tab w:val="left" w:pos="360"/>
      </w:tabs>
      <w:adjustRightInd/>
      <w:spacing w:line="240" w:lineRule="auto"/>
      <w:jc w:val="both"/>
      <w:textAlignment w:val="auto"/>
    </w:pPr>
    <w:rPr>
      <w:kern w:val="2"/>
      <w:sz w:val="21"/>
    </w:rPr>
  </w:style>
  <w:style w:type="paragraph" w:styleId="14">
    <w:name w:val="Document Map"/>
    <w:basedOn w:val="1"/>
    <w:link w:val="75"/>
    <w:qFormat/>
    <w:uiPriority w:val="0"/>
    <w:pPr>
      <w:shd w:val="clear" w:color="auto" w:fill="000080"/>
    </w:pPr>
  </w:style>
  <w:style w:type="paragraph" w:styleId="15">
    <w:name w:val="toa heading"/>
    <w:basedOn w:val="1"/>
    <w:next w:val="1"/>
    <w:unhideWhenUsed/>
    <w:qFormat/>
    <w:uiPriority w:val="0"/>
    <w:pPr>
      <w:spacing w:before="120"/>
    </w:pPr>
  </w:style>
  <w:style w:type="paragraph" w:styleId="16">
    <w:name w:val="annotation text"/>
    <w:basedOn w:val="1"/>
    <w:link w:val="79"/>
    <w:qFormat/>
    <w:uiPriority w:val="0"/>
  </w:style>
  <w:style w:type="paragraph" w:styleId="17">
    <w:name w:val="Body Text"/>
    <w:basedOn w:val="1"/>
    <w:link w:val="85"/>
    <w:qFormat/>
    <w:uiPriority w:val="0"/>
    <w:pPr>
      <w:adjustRightInd/>
      <w:spacing w:line="240" w:lineRule="auto"/>
      <w:jc w:val="both"/>
      <w:textAlignment w:val="auto"/>
    </w:pPr>
    <w:rPr>
      <w:kern w:val="2"/>
      <w:sz w:val="28"/>
    </w:rPr>
  </w:style>
  <w:style w:type="paragraph" w:styleId="18">
    <w:name w:val="Body Text Indent"/>
    <w:basedOn w:val="1"/>
    <w:link w:val="81"/>
    <w:qFormat/>
    <w:uiPriority w:val="0"/>
    <w:pPr>
      <w:spacing w:line="360" w:lineRule="auto"/>
      <w:ind w:left="454"/>
    </w:pPr>
    <w:rPr>
      <w:rFonts w:ascii="宋体"/>
    </w:rPr>
  </w:style>
  <w:style w:type="paragraph" w:styleId="19">
    <w:name w:val="Block Text"/>
    <w:basedOn w:val="1"/>
    <w:qFormat/>
    <w:uiPriority w:val="0"/>
    <w:pPr>
      <w:adjustRightInd/>
      <w:spacing w:before="120" w:after="120" w:line="360" w:lineRule="auto"/>
      <w:ind w:left="630" w:right="202"/>
      <w:jc w:val="both"/>
      <w:textAlignment w:val="auto"/>
    </w:pPr>
    <w:rPr>
      <w:rFonts w:ascii="宋体"/>
      <w:kern w:val="2"/>
    </w:rPr>
  </w:style>
  <w:style w:type="paragraph" w:styleId="20">
    <w:name w:val="toc 5"/>
    <w:basedOn w:val="1"/>
    <w:next w:val="1"/>
    <w:qFormat/>
    <w:uiPriority w:val="0"/>
    <w:pPr>
      <w:ind w:left="960"/>
    </w:pPr>
    <w:rPr>
      <w:sz w:val="18"/>
    </w:rPr>
  </w:style>
  <w:style w:type="paragraph" w:styleId="21">
    <w:name w:val="toc 3"/>
    <w:basedOn w:val="1"/>
    <w:next w:val="1"/>
    <w:qFormat/>
    <w:uiPriority w:val="0"/>
    <w:pPr>
      <w:ind w:left="480"/>
    </w:pPr>
    <w:rPr>
      <w:i/>
      <w:sz w:val="20"/>
    </w:rPr>
  </w:style>
  <w:style w:type="paragraph" w:styleId="22">
    <w:name w:val="Plain Text"/>
    <w:basedOn w:val="1"/>
    <w:link w:val="73"/>
    <w:qFormat/>
    <w:uiPriority w:val="0"/>
    <w:pPr>
      <w:adjustRightInd/>
      <w:spacing w:line="240" w:lineRule="auto"/>
      <w:jc w:val="both"/>
      <w:textAlignment w:val="auto"/>
    </w:pPr>
    <w:rPr>
      <w:rFonts w:ascii="宋体" w:hAnsi="Courier New"/>
      <w:kern w:val="2"/>
      <w:sz w:val="21"/>
    </w:rPr>
  </w:style>
  <w:style w:type="paragraph" w:styleId="23">
    <w:name w:val="toc 8"/>
    <w:basedOn w:val="1"/>
    <w:next w:val="1"/>
    <w:qFormat/>
    <w:uiPriority w:val="0"/>
    <w:pPr>
      <w:ind w:left="1680"/>
    </w:pPr>
    <w:rPr>
      <w:sz w:val="18"/>
    </w:rPr>
  </w:style>
  <w:style w:type="paragraph" w:styleId="24">
    <w:name w:val="Date"/>
    <w:basedOn w:val="1"/>
    <w:next w:val="1"/>
    <w:link w:val="74"/>
    <w:qFormat/>
    <w:uiPriority w:val="0"/>
    <w:pPr>
      <w:jc w:val="both"/>
    </w:pPr>
    <w:rPr>
      <w:rFonts w:ascii="宋体" w:hAnsiTheme="minorHAnsi" w:cstheme="minorBidi"/>
      <w:kern w:val="2"/>
      <w:szCs w:val="22"/>
    </w:rPr>
  </w:style>
  <w:style w:type="paragraph" w:styleId="25">
    <w:name w:val="Body Text Indent 2"/>
    <w:basedOn w:val="1"/>
    <w:link w:val="72"/>
    <w:qFormat/>
    <w:uiPriority w:val="0"/>
    <w:pPr>
      <w:spacing w:before="120" w:after="120" w:line="360" w:lineRule="auto"/>
      <w:ind w:right="204" w:firstLine="425"/>
      <w:jc w:val="both"/>
    </w:pPr>
    <w:rPr>
      <w:rFonts w:ascii="宋体"/>
    </w:rPr>
  </w:style>
  <w:style w:type="paragraph" w:styleId="26">
    <w:name w:val="Balloon Text"/>
    <w:basedOn w:val="1"/>
    <w:link w:val="71"/>
    <w:qFormat/>
    <w:uiPriority w:val="0"/>
    <w:rPr>
      <w:sz w:val="18"/>
    </w:rPr>
  </w:style>
  <w:style w:type="paragraph" w:styleId="27">
    <w:name w:val="footer"/>
    <w:basedOn w:val="1"/>
    <w:link w:val="70"/>
    <w:qFormat/>
    <w:uiPriority w:val="99"/>
    <w:pPr>
      <w:tabs>
        <w:tab w:val="center" w:pos="4153"/>
        <w:tab w:val="right" w:pos="8306"/>
      </w:tabs>
      <w:spacing w:line="240" w:lineRule="atLeast"/>
    </w:pPr>
    <w:rPr>
      <w:rFonts w:asciiTheme="minorHAnsi" w:hAnsiTheme="minorHAnsi" w:eastAsiaTheme="minorEastAsia" w:cstheme="minorBidi"/>
      <w:kern w:val="2"/>
      <w:sz w:val="18"/>
      <w:szCs w:val="22"/>
    </w:rPr>
  </w:style>
  <w:style w:type="paragraph" w:styleId="28">
    <w:name w:val="header"/>
    <w:basedOn w:val="1"/>
    <w:link w:val="78"/>
    <w:qFormat/>
    <w:uiPriority w:val="0"/>
    <w:pPr>
      <w:pBdr>
        <w:bottom w:val="single" w:color="auto" w:sz="6" w:space="1"/>
      </w:pBdr>
      <w:tabs>
        <w:tab w:val="center" w:pos="4153"/>
        <w:tab w:val="right" w:pos="8306"/>
      </w:tabs>
      <w:spacing w:line="240" w:lineRule="atLeast"/>
      <w:jc w:val="center"/>
    </w:pPr>
    <w:rPr>
      <w:rFonts w:asciiTheme="minorHAnsi" w:hAnsiTheme="minorHAnsi" w:eastAsiaTheme="minorEastAsia" w:cstheme="minorBidi"/>
      <w:kern w:val="2"/>
      <w:sz w:val="18"/>
      <w:szCs w:val="22"/>
    </w:rPr>
  </w:style>
  <w:style w:type="paragraph" w:styleId="29">
    <w:name w:val="toc 1"/>
    <w:basedOn w:val="1"/>
    <w:next w:val="1"/>
    <w:qFormat/>
    <w:uiPriority w:val="39"/>
    <w:pPr>
      <w:spacing w:before="120" w:after="120"/>
    </w:pPr>
    <w:rPr>
      <w:b/>
      <w:caps/>
    </w:rPr>
  </w:style>
  <w:style w:type="paragraph" w:styleId="30">
    <w:name w:val="toc 4"/>
    <w:basedOn w:val="1"/>
    <w:next w:val="1"/>
    <w:qFormat/>
    <w:uiPriority w:val="0"/>
    <w:pPr>
      <w:ind w:left="720"/>
    </w:pPr>
    <w:rPr>
      <w:sz w:val="18"/>
    </w:rPr>
  </w:style>
  <w:style w:type="paragraph" w:styleId="31">
    <w:name w:val="Subtitle"/>
    <w:basedOn w:val="1"/>
    <w:next w:val="1"/>
    <w:link w:val="84"/>
    <w:qFormat/>
    <w:uiPriority w:val="11"/>
    <w:pPr>
      <w:adjustRightInd/>
      <w:spacing w:before="240" w:after="60" w:line="312" w:lineRule="auto"/>
      <w:jc w:val="center"/>
      <w:textAlignment w:val="auto"/>
      <w:outlineLvl w:val="1"/>
    </w:pPr>
    <w:rPr>
      <w:rFonts w:ascii="Cambria" w:hAnsi="Cambria" w:eastAsiaTheme="minorEastAsia" w:cstheme="minorBidi"/>
      <w:b/>
      <w:bCs/>
      <w:kern w:val="28"/>
      <w:sz w:val="32"/>
      <w:szCs w:val="32"/>
    </w:rPr>
  </w:style>
  <w:style w:type="paragraph" w:styleId="32">
    <w:name w:val="List"/>
    <w:basedOn w:val="1"/>
    <w:qFormat/>
    <w:uiPriority w:val="0"/>
    <w:pPr>
      <w:suppressAutoHyphens/>
      <w:autoSpaceDE w:val="0"/>
      <w:autoSpaceDN w:val="0"/>
      <w:snapToGrid w:val="0"/>
      <w:spacing w:line="240" w:lineRule="auto"/>
      <w:jc w:val="center"/>
    </w:pPr>
    <w:rPr>
      <w:rFonts w:ascii="宋体"/>
      <w:sz w:val="21"/>
    </w:rPr>
  </w:style>
  <w:style w:type="paragraph" w:styleId="33">
    <w:name w:val="footnote text"/>
    <w:basedOn w:val="1"/>
    <w:link w:val="77"/>
    <w:qFormat/>
    <w:uiPriority w:val="0"/>
    <w:pPr>
      <w:adjustRightInd/>
      <w:snapToGrid w:val="0"/>
      <w:spacing w:line="240" w:lineRule="auto"/>
      <w:textAlignment w:val="auto"/>
    </w:pPr>
    <w:rPr>
      <w:rFonts w:ascii="楷体_GB2312" w:eastAsia="楷体_GB2312"/>
      <w:kern w:val="10"/>
      <w:position w:val="6"/>
      <w:sz w:val="18"/>
    </w:rPr>
  </w:style>
  <w:style w:type="paragraph" w:styleId="34">
    <w:name w:val="toc 6"/>
    <w:basedOn w:val="1"/>
    <w:next w:val="1"/>
    <w:qFormat/>
    <w:uiPriority w:val="0"/>
    <w:pPr>
      <w:ind w:left="1200"/>
    </w:pPr>
    <w:rPr>
      <w:sz w:val="18"/>
    </w:rPr>
  </w:style>
  <w:style w:type="paragraph" w:styleId="35">
    <w:name w:val="Body Text Indent 3"/>
    <w:basedOn w:val="1"/>
    <w:link w:val="83"/>
    <w:qFormat/>
    <w:uiPriority w:val="0"/>
    <w:pPr>
      <w:spacing w:line="360" w:lineRule="auto"/>
      <w:ind w:left="454"/>
      <w:jc w:val="both"/>
    </w:pPr>
    <w:rPr>
      <w:rFonts w:ascii="宋体"/>
    </w:rPr>
  </w:style>
  <w:style w:type="paragraph" w:styleId="36">
    <w:name w:val="toc 2"/>
    <w:basedOn w:val="1"/>
    <w:next w:val="1"/>
    <w:qFormat/>
    <w:uiPriority w:val="0"/>
    <w:pPr>
      <w:ind w:left="240"/>
    </w:pPr>
    <w:rPr>
      <w:smallCaps/>
      <w:sz w:val="20"/>
    </w:rPr>
  </w:style>
  <w:style w:type="paragraph" w:styleId="37">
    <w:name w:val="toc 9"/>
    <w:basedOn w:val="1"/>
    <w:next w:val="1"/>
    <w:qFormat/>
    <w:uiPriority w:val="0"/>
    <w:pPr>
      <w:ind w:left="1920"/>
    </w:pPr>
    <w:rPr>
      <w:sz w:val="18"/>
    </w:rPr>
  </w:style>
  <w:style w:type="paragraph" w:styleId="38">
    <w:name w:val="Body Text 2"/>
    <w:basedOn w:val="1"/>
    <w:link w:val="82"/>
    <w:qFormat/>
    <w:uiPriority w:val="0"/>
    <w:pPr>
      <w:snapToGrid w:val="0"/>
      <w:spacing w:beforeLines="50" w:afterLines="50" w:line="240" w:lineRule="auto"/>
      <w:jc w:val="both"/>
      <w:textAlignment w:val="auto"/>
    </w:pPr>
    <w:rPr>
      <w:kern w:val="2"/>
    </w:rPr>
  </w:style>
  <w:style w:type="paragraph" w:styleId="39">
    <w:name w:val="index 1"/>
    <w:basedOn w:val="1"/>
    <w:next w:val="1"/>
    <w:semiHidden/>
    <w:qFormat/>
    <w:uiPriority w:val="0"/>
    <w:pPr>
      <w:adjustRightInd/>
      <w:spacing w:line="240" w:lineRule="auto"/>
      <w:jc w:val="both"/>
      <w:textAlignment w:val="auto"/>
    </w:pPr>
    <w:rPr>
      <w:kern w:val="2"/>
      <w:sz w:val="21"/>
      <w:szCs w:val="24"/>
    </w:rPr>
  </w:style>
  <w:style w:type="paragraph" w:styleId="40">
    <w:name w:val="Title"/>
    <w:basedOn w:val="1"/>
    <w:link w:val="76"/>
    <w:qFormat/>
    <w:uiPriority w:val="0"/>
    <w:pPr>
      <w:adjustRightInd/>
      <w:spacing w:before="240" w:after="60" w:line="240" w:lineRule="auto"/>
      <w:jc w:val="center"/>
      <w:textAlignment w:val="auto"/>
      <w:outlineLvl w:val="0"/>
    </w:pPr>
    <w:rPr>
      <w:rFonts w:ascii="Arial" w:hAnsi="Arial"/>
      <w:b/>
      <w:kern w:val="2"/>
      <w:sz w:val="32"/>
    </w:rPr>
  </w:style>
  <w:style w:type="paragraph" w:styleId="41">
    <w:name w:val="annotation subject"/>
    <w:basedOn w:val="16"/>
    <w:next w:val="16"/>
    <w:link w:val="80"/>
    <w:qFormat/>
    <w:uiPriority w:val="0"/>
    <w:rPr>
      <w:b/>
    </w:rPr>
  </w:style>
  <w:style w:type="table" w:styleId="43">
    <w:name w:val="Table Grid"/>
    <w:basedOn w:val="4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Strong"/>
    <w:qFormat/>
    <w:uiPriority w:val="0"/>
    <w:rPr>
      <w:b/>
    </w:rPr>
  </w:style>
  <w:style w:type="character" w:styleId="46">
    <w:name w:val="page number"/>
    <w:qFormat/>
    <w:uiPriority w:val="0"/>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21"/>
    </w:rPr>
  </w:style>
  <w:style w:type="character" w:styleId="50">
    <w:name w:val="footnote reference"/>
    <w:qFormat/>
    <w:uiPriority w:val="0"/>
    <w:rPr>
      <w:vertAlign w:val="superscript"/>
    </w:rPr>
  </w:style>
  <w:style w:type="character" w:customStyle="1" w:styleId="51">
    <w:name w:val="标题 1 字符"/>
    <w:basedOn w:val="44"/>
    <w:link w:val="2"/>
    <w:qFormat/>
    <w:uiPriority w:val="0"/>
    <w:rPr>
      <w:rFonts w:ascii="宋体" w:hAnsi="宋体" w:eastAsia="宋体" w:cs="Times New Roman"/>
      <w:b/>
      <w:color w:val="000000"/>
      <w:kern w:val="44"/>
      <w:sz w:val="48"/>
      <w:szCs w:val="20"/>
    </w:rPr>
  </w:style>
  <w:style w:type="character" w:customStyle="1" w:styleId="52">
    <w:name w:val="标题 2 字符"/>
    <w:basedOn w:val="44"/>
    <w:link w:val="3"/>
    <w:qFormat/>
    <w:uiPriority w:val="0"/>
    <w:rPr>
      <w:rFonts w:ascii="宋体" w:hAnsi="Arial" w:eastAsia="宋体" w:cs="Times New Roman"/>
      <w:b/>
      <w:snapToGrid w:val="0"/>
      <w:kern w:val="0"/>
      <w:sz w:val="28"/>
      <w:szCs w:val="20"/>
    </w:rPr>
  </w:style>
  <w:style w:type="character" w:customStyle="1" w:styleId="53">
    <w:name w:val="标题 3 字符"/>
    <w:basedOn w:val="44"/>
    <w:link w:val="4"/>
    <w:qFormat/>
    <w:uiPriority w:val="0"/>
    <w:rPr>
      <w:rFonts w:ascii="Times New Roman" w:hAnsi="Times New Roman" w:eastAsia="宋体" w:cs="Times New Roman"/>
      <w:b/>
      <w:kern w:val="0"/>
      <w:sz w:val="32"/>
      <w:szCs w:val="20"/>
    </w:rPr>
  </w:style>
  <w:style w:type="character" w:customStyle="1" w:styleId="54">
    <w:name w:val="标题 4 字符"/>
    <w:basedOn w:val="44"/>
    <w:link w:val="5"/>
    <w:qFormat/>
    <w:uiPriority w:val="0"/>
    <w:rPr>
      <w:rFonts w:ascii="宋体" w:hAnsi="Times New Roman" w:eastAsia="宋体" w:cs="Times New Roman"/>
      <w:i/>
      <w:kern w:val="0"/>
      <w:sz w:val="24"/>
      <w:szCs w:val="20"/>
    </w:rPr>
  </w:style>
  <w:style w:type="character" w:customStyle="1" w:styleId="55">
    <w:name w:val="标题 5 字符"/>
    <w:basedOn w:val="44"/>
    <w:link w:val="7"/>
    <w:qFormat/>
    <w:uiPriority w:val="0"/>
    <w:rPr>
      <w:rFonts w:ascii="Times New Roman" w:hAnsi="Times New Roman" w:eastAsia="宋体" w:cs="Times New Roman"/>
      <w:kern w:val="0"/>
      <w:sz w:val="24"/>
      <w:szCs w:val="20"/>
    </w:rPr>
  </w:style>
  <w:style w:type="character" w:customStyle="1" w:styleId="56">
    <w:name w:val="标题 6 字符"/>
    <w:basedOn w:val="44"/>
    <w:link w:val="8"/>
    <w:qFormat/>
    <w:uiPriority w:val="0"/>
    <w:rPr>
      <w:rFonts w:ascii="Times New Roman" w:hAnsi="Times New Roman" w:eastAsia="宋体" w:cs="Times New Roman"/>
      <w:kern w:val="0"/>
      <w:sz w:val="24"/>
      <w:szCs w:val="20"/>
    </w:rPr>
  </w:style>
  <w:style w:type="character" w:customStyle="1" w:styleId="57">
    <w:name w:val="标题 7 字符"/>
    <w:basedOn w:val="44"/>
    <w:link w:val="9"/>
    <w:qFormat/>
    <w:uiPriority w:val="0"/>
    <w:rPr>
      <w:rFonts w:ascii="Times New Roman" w:hAnsi="Times New Roman" w:eastAsia="宋体" w:cs="Times New Roman"/>
      <w:kern w:val="0"/>
      <w:sz w:val="24"/>
      <w:szCs w:val="20"/>
    </w:rPr>
  </w:style>
  <w:style w:type="character" w:customStyle="1" w:styleId="58">
    <w:name w:val="标题 8 字符"/>
    <w:basedOn w:val="44"/>
    <w:link w:val="10"/>
    <w:qFormat/>
    <w:uiPriority w:val="0"/>
    <w:rPr>
      <w:rFonts w:ascii="Times New Roman" w:hAnsi="Times New Roman" w:eastAsia="宋体" w:cs="Times New Roman"/>
      <w:kern w:val="0"/>
      <w:sz w:val="24"/>
      <w:szCs w:val="20"/>
    </w:rPr>
  </w:style>
  <w:style w:type="character" w:customStyle="1" w:styleId="59">
    <w:name w:val="标题 9 字符"/>
    <w:basedOn w:val="44"/>
    <w:link w:val="11"/>
    <w:qFormat/>
    <w:uiPriority w:val="0"/>
    <w:rPr>
      <w:rFonts w:ascii="Arial" w:hAnsi="Arial" w:eastAsia="黑体" w:cs="Times New Roman"/>
      <w:kern w:val="0"/>
      <w:sz w:val="24"/>
      <w:szCs w:val="20"/>
    </w:rPr>
  </w:style>
  <w:style w:type="character" w:customStyle="1" w:styleId="60">
    <w:name w:val="副标题 Char"/>
    <w:basedOn w:val="44"/>
    <w:qFormat/>
    <w:uiPriority w:val="11"/>
    <w:rPr>
      <w:rFonts w:ascii="Cambria" w:hAnsi="Cambria"/>
      <w:b/>
      <w:bCs/>
      <w:kern w:val="28"/>
      <w:sz w:val="32"/>
      <w:szCs w:val="32"/>
    </w:rPr>
  </w:style>
  <w:style w:type="character" w:customStyle="1" w:styleId="61">
    <w:name w:val="页眉 Char"/>
    <w:qFormat/>
    <w:uiPriority w:val="0"/>
    <w:rPr>
      <w:sz w:val="18"/>
    </w:rPr>
  </w:style>
  <w:style w:type="character" w:customStyle="1" w:styleId="62">
    <w:name w:val="页脚 Char"/>
    <w:basedOn w:val="44"/>
    <w:qFormat/>
    <w:uiPriority w:val="99"/>
    <w:rPr>
      <w:lang w:eastAsia="zh-CN"/>
    </w:rPr>
  </w:style>
  <w:style w:type="character" w:customStyle="1" w:styleId="63">
    <w:name w:val="日期 Char"/>
    <w:qFormat/>
    <w:uiPriority w:val="0"/>
    <w:rPr>
      <w:rFonts w:ascii="宋体" w:eastAsia="宋体"/>
      <w:sz w:val="24"/>
    </w:rPr>
  </w:style>
  <w:style w:type="character" w:customStyle="1" w:styleId="64">
    <w:name w:val="-*+"/>
    <w:qFormat/>
    <w:uiPriority w:val="0"/>
    <w:rPr>
      <w:rFonts w:ascii="宋体" w:hAnsi="宋体" w:eastAsia="宋体"/>
      <w:b/>
      <w:color w:val="000000"/>
      <w:kern w:val="44"/>
      <w:sz w:val="48"/>
      <w:lang w:val="en-US" w:eastAsia="zh-CN"/>
    </w:rPr>
  </w:style>
  <w:style w:type="character" w:customStyle="1" w:styleId="65">
    <w:name w:val="样式1 Char"/>
    <w:link w:val="66"/>
    <w:qFormat/>
    <w:uiPriority w:val="0"/>
    <w:rPr>
      <w:rFonts w:ascii="宋体"/>
      <w:spacing w:val="-20"/>
      <w:kern w:val="21"/>
      <w:sz w:val="28"/>
    </w:rPr>
  </w:style>
  <w:style w:type="paragraph" w:customStyle="1" w:styleId="66">
    <w:name w:val="样式1"/>
    <w:basedOn w:val="1"/>
    <w:link w:val="65"/>
    <w:qFormat/>
    <w:uiPriority w:val="0"/>
    <w:pPr>
      <w:tabs>
        <w:tab w:val="left" w:pos="360"/>
      </w:tabs>
      <w:autoSpaceDE w:val="0"/>
      <w:autoSpaceDN w:val="0"/>
      <w:spacing w:line="288" w:lineRule="auto"/>
      <w:jc w:val="both"/>
      <w:textAlignment w:val="auto"/>
    </w:pPr>
    <w:rPr>
      <w:rFonts w:ascii="宋体" w:hAnsiTheme="minorHAnsi" w:eastAsiaTheme="minorEastAsia" w:cstheme="minorBidi"/>
      <w:spacing w:val="-20"/>
      <w:kern w:val="21"/>
      <w:sz w:val="28"/>
      <w:szCs w:val="22"/>
    </w:rPr>
  </w:style>
  <w:style w:type="character" w:customStyle="1" w:styleId="67">
    <w:name w:val="页脚 Char1"/>
    <w:qFormat/>
    <w:uiPriority w:val="0"/>
    <w:rPr>
      <w:sz w:val="18"/>
    </w:rPr>
  </w:style>
  <w:style w:type="character" w:customStyle="1" w:styleId="68">
    <w:name w:val="列表段落 字符"/>
    <w:link w:val="69"/>
    <w:qFormat/>
    <w:uiPriority w:val="34"/>
    <w:rPr>
      <w:szCs w:val="24"/>
    </w:rPr>
  </w:style>
  <w:style w:type="paragraph" w:styleId="69">
    <w:name w:val="List Paragraph"/>
    <w:basedOn w:val="1"/>
    <w:link w:val="68"/>
    <w:qFormat/>
    <w:uiPriority w:val="34"/>
    <w:pPr>
      <w:adjustRightInd/>
      <w:spacing w:line="240" w:lineRule="auto"/>
      <w:ind w:firstLine="420" w:firstLineChars="200"/>
      <w:jc w:val="both"/>
      <w:textAlignment w:val="auto"/>
    </w:pPr>
    <w:rPr>
      <w:rFonts w:asciiTheme="minorHAnsi" w:hAnsiTheme="minorHAnsi" w:eastAsiaTheme="minorEastAsia" w:cstheme="minorBidi"/>
      <w:kern w:val="2"/>
      <w:sz w:val="21"/>
      <w:szCs w:val="24"/>
    </w:rPr>
  </w:style>
  <w:style w:type="character" w:customStyle="1" w:styleId="70">
    <w:name w:val="页脚 字符"/>
    <w:basedOn w:val="44"/>
    <w:link w:val="27"/>
    <w:qFormat/>
    <w:uiPriority w:val="99"/>
    <w:rPr>
      <w:rFonts w:ascii="Times New Roman" w:hAnsi="Times New Roman" w:eastAsia="宋体" w:cs="Times New Roman"/>
      <w:kern w:val="0"/>
      <w:sz w:val="18"/>
      <w:szCs w:val="18"/>
    </w:rPr>
  </w:style>
  <w:style w:type="character" w:customStyle="1" w:styleId="71">
    <w:name w:val="批注框文本 字符"/>
    <w:basedOn w:val="44"/>
    <w:link w:val="26"/>
    <w:qFormat/>
    <w:uiPriority w:val="0"/>
    <w:rPr>
      <w:rFonts w:ascii="Times New Roman" w:hAnsi="Times New Roman" w:eastAsia="宋体" w:cs="Times New Roman"/>
      <w:kern w:val="0"/>
      <w:sz w:val="18"/>
      <w:szCs w:val="20"/>
    </w:rPr>
  </w:style>
  <w:style w:type="character" w:customStyle="1" w:styleId="72">
    <w:name w:val="正文文本缩进 2 字符"/>
    <w:basedOn w:val="44"/>
    <w:link w:val="25"/>
    <w:qFormat/>
    <w:uiPriority w:val="0"/>
    <w:rPr>
      <w:rFonts w:ascii="宋体" w:hAnsi="Times New Roman" w:eastAsia="宋体" w:cs="Times New Roman"/>
      <w:kern w:val="0"/>
      <w:sz w:val="24"/>
      <w:szCs w:val="20"/>
    </w:rPr>
  </w:style>
  <w:style w:type="character" w:customStyle="1" w:styleId="73">
    <w:name w:val="纯文本 字符"/>
    <w:basedOn w:val="44"/>
    <w:link w:val="22"/>
    <w:qFormat/>
    <w:uiPriority w:val="0"/>
    <w:rPr>
      <w:rFonts w:ascii="宋体" w:hAnsi="Courier New" w:eastAsia="宋体" w:cs="Times New Roman"/>
      <w:szCs w:val="20"/>
    </w:rPr>
  </w:style>
  <w:style w:type="character" w:customStyle="1" w:styleId="74">
    <w:name w:val="日期 字符"/>
    <w:basedOn w:val="44"/>
    <w:link w:val="24"/>
    <w:semiHidden/>
    <w:qFormat/>
    <w:uiPriority w:val="99"/>
    <w:rPr>
      <w:rFonts w:ascii="Times New Roman" w:hAnsi="Times New Roman" w:eastAsia="宋体" w:cs="Times New Roman"/>
      <w:kern w:val="0"/>
      <w:sz w:val="24"/>
      <w:szCs w:val="20"/>
    </w:rPr>
  </w:style>
  <w:style w:type="character" w:customStyle="1" w:styleId="75">
    <w:name w:val="文档结构图 字符"/>
    <w:basedOn w:val="44"/>
    <w:link w:val="14"/>
    <w:qFormat/>
    <w:uiPriority w:val="0"/>
    <w:rPr>
      <w:rFonts w:ascii="Times New Roman" w:hAnsi="Times New Roman" w:eastAsia="宋体" w:cs="Times New Roman"/>
      <w:kern w:val="0"/>
      <w:sz w:val="24"/>
      <w:szCs w:val="20"/>
      <w:shd w:val="clear" w:color="auto" w:fill="000080"/>
    </w:rPr>
  </w:style>
  <w:style w:type="character" w:customStyle="1" w:styleId="76">
    <w:name w:val="标题 字符"/>
    <w:basedOn w:val="44"/>
    <w:link w:val="40"/>
    <w:qFormat/>
    <w:uiPriority w:val="0"/>
    <w:rPr>
      <w:rFonts w:ascii="Arial" w:hAnsi="Arial" w:eastAsia="宋体" w:cs="Times New Roman"/>
      <w:b/>
      <w:sz w:val="32"/>
      <w:szCs w:val="20"/>
    </w:rPr>
  </w:style>
  <w:style w:type="character" w:customStyle="1" w:styleId="77">
    <w:name w:val="脚注文本 字符"/>
    <w:basedOn w:val="44"/>
    <w:link w:val="33"/>
    <w:qFormat/>
    <w:uiPriority w:val="0"/>
    <w:rPr>
      <w:rFonts w:ascii="楷体_GB2312" w:hAnsi="Times New Roman" w:eastAsia="楷体_GB2312" w:cs="Times New Roman"/>
      <w:kern w:val="10"/>
      <w:position w:val="6"/>
      <w:sz w:val="18"/>
      <w:szCs w:val="20"/>
    </w:rPr>
  </w:style>
  <w:style w:type="character" w:customStyle="1" w:styleId="78">
    <w:name w:val="页眉 字符"/>
    <w:basedOn w:val="44"/>
    <w:link w:val="28"/>
    <w:semiHidden/>
    <w:qFormat/>
    <w:uiPriority w:val="99"/>
    <w:rPr>
      <w:rFonts w:ascii="Times New Roman" w:hAnsi="Times New Roman" w:eastAsia="宋体" w:cs="Times New Roman"/>
      <w:kern w:val="0"/>
      <w:sz w:val="18"/>
      <w:szCs w:val="18"/>
    </w:rPr>
  </w:style>
  <w:style w:type="character" w:customStyle="1" w:styleId="79">
    <w:name w:val="批注文字 字符"/>
    <w:basedOn w:val="44"/>
    <w:link w:val="16"/>
    <w:qFormat/>
    <w:uiPriority w:val="0"/>
    <w:rPr>
      <w:rFonts w:ascii="Times New Roman" w:hAnsi="Times New Roman" w:eastAsia="宋体" w:cs="Times New Roman"/>
      <w:kern w:val="0"/>
      <w:sz w:val="24"/>
      <w:szCs w:val="20"/>
    </w:rPr>
  </w:style>
  <w:style w:type="character" w:customStyle="1" w:styleId="80">
    <w:name w:val="批注主题 字符"/>
    <w:basedOn w:val="79"/>
    <w:link w:val="41"/>
    <w:qFormat/>
    <w:uiPriority w:val="0"/>
    <w:rPr>
      <w:rFonts w:ascii="Times New Roman" w:hAnsi="Times New Roman" w:eastAsia="宋体" w:cs="Times New Roman"/>
      <w:b/>
      <w:kern w:val="0"/>
      <w:sz w:val="24"/>
      <w:szCs w:val="20"/>
    </w:rPr>
  </w:style>
  <w:style w:type="character" w:customStyle="1" w:styleId="81">
    <w:name w:val="正文文本缩进 字符"/>
    <w:basedOn w:val="44"/>
    <w:link w:val="18"/>
    <w:qFormat/>
    <w:uiPriority w:val="0"/>
    <w:rPr>
      <w:rFonts w:ascii="宋体" w:hAnsi="Times New Roman" w:eastAsia="宋体" w:cs="Times New Roman"/>
      <w:kern w:val="0"/>
      <w:sz w:val="24"/>
      <w:szCs w:val="20"/>
    </w:rPr>
  </w:style>
  <w:style w:type="character" w:customStyle="1" w:styleId="82">
    <w:name w:val="正文文本 2 字符"/>
    <w:basedOn w:val="44"/>
    <w:link w:val="38"/>
    <w:qFormat/>
    <w:uiPriority w:val="0"/>
    <w:rPr>
      <w:rFonts w:ascii="Times New Roman" w:hAnsi="Times New Roman" w:eastAsia="宋体" w:cs="Times New Roman"/>
      <w:sz w:val="24"/>
      <w:szCs w:val="20"/>
    </w:rPr>
  </w:style>
  <w:style w:type="character" w:customStyle="1" w:styleId="83">
    <w:name w:val="正文文本缩进 3 字符"/>
    <w:basedOn w:val="44"/>
    <w:link w:val="35"/>
    <w:qFormat/>
    <w:uiPriority w:val="0"/>
    <w:rPr>
      <w:rFonts w:ascii="宋体" w:hAnsi="Times New Roman" w:eastAsia="宋体" w:cs="Times New Roman"/>
      <w:kern w:val="0"/>
      <w:sz w:val="24"/>
      <w:szCs w:val="20"/>
    </w:rPr>
  </w:style>
  <w:style w:type="character" w:customStyle="1" w:styleId="84">
    <w:name w:val="副标题 字符"/>
    <w:basedOn w:val="44"/>
    <w:link w:val="31"/>
    <w:qFormat/>
    <w:uiPriority w:val="11"/>
    <w:rPr>
      <w:rFonts w:eastAsia="宋体" w:asciiTheme="majorHAnsi" w:hAnsiTheme="majorHAnsi" w:cstheme="majorBidi"/>
      <w:b/>
      <w:bCs/>
      <w:kern w:val="28"/>
      <w:sz w:val="32"/>
      <w:szCs w:val="32"/>
    </w:rPr>
  </w:style>
  <w:style w:type="character" w:customStyle="1" w:styleId="85">
    <w:name w:val="正文文本 字符"/>
    <w:basedOn w:val="44"/>
    <w:link w:val="17"/>
    <w:qFormat/>
    <w:uiPriority w:val="0"/>
    <w:rPr>
      <w:rFonts w:ascii="Times New Roman" w:hAnsi="Times New Roman" w:eastAsia="宋体" w:cs="Times New Roman"/>
      <w:sz w:val="28"/>
      <w:szCs w:val="20"/>
    </w:rPr>
  </w:style>
  <w:style w:type="paragraph" w:customStyle="1" w:styleId="86">
    <w:name w:val="Char Char Char Char"/>
    <w:basedOn w:val="1"/>
    <w:qFormat/>
    <w:uiPriority w:val="0"/>
    <w:pPr>
      <w:adjustRightInd/>
      <w:spacing w:line="240" w:lineRule="auto"/>
      <w:jc w:val="both"/>
      <w:textAlignment w:val="auto"/>
    </w:pPr>
    <w:rPr>
      <w:kern w:val="2"/>
      <w:sz w:val="21"/>
      <w:szCs w:val="24"/>
    </w:rPr>
  </w:style>
  <w:style w:type="paragraph" w:customStyle="1" w:styleId="87">
    <w:name w:val="n"/>
    <w:basedOn w:val="1"/>
    <w:qFormat/>
    <w:uiPriority w:val="0"/>
    <w:pPr>
      <w:autoSpaceDE w:val="0"/>
      <w:autoSpaceDN w:val="0"/>
      <w:spacing w:line="400" w:lineRule="atLeast"/>
      <w:jc w:val="both"/>
    </w:pPr>
    <w:rPr>
      <w:rFonts w:ascii="宋体"/>
    </w:rPr>
  </w:style>
  <w:style w:type="paragraph" w:customStyle="1" w:styleId="88">
    <w:name w:val="Char Char Char Char Char Char Char"/>
    <w:basedOn w:val="1"/>
    <w:qFormat/>
    <w:uiPriority w:val="0"/>
    <w:pPr>
      <w:adjustRightInd/>
      <w:spacing w:line="240" w:lineRule="auto"/>
      <w:jc w:val="both"/>
      <w:textAlignment w:val="auto"/>
    </w:pPr>
    <w:rPr>
      <w:kern w:val="2"/>
      <w:sz w:val="21"/>
    </w:rPr>
  </w:style>
  <w:style w:type="paragraph" w:customStyle="1" w:styleId="89">
    <w:name w:val="文档结构图1"/>
    <w:basedOn w:val="1"/>
    <w:qFormat/>
    <w:uiPriority w:val="0"/>
    <w:pPr>
      <w:shd w:val="clear" w:color="auto" w:fill="000080"/>
      <w:autoSpaceDE w:val="0"/>
      <w:autoSpaceDN w:val="0"/>
      <w:spacing w:line="312" w:lineRule="atLeast"/>
      <w:jc w:val="both"/>
    </w:pPr>
    <w:rPr>
      <w:rFonts w:ascii="宋体" w:hAnsi="Tms Rmn"/>
      <w:sz w:val="21"/>
    </w:rPr>
  </w:style>
  <w:style w:type="paragraph" w:customStyle="1" w:styleId="90">
    <w:name w:val="Char2"/>
    <w:basedOn w:val="1"/>
    <w:qFormat/>
    <w:uiPriority w:val="0"/>
    <w:pPr>
      <w:adjustRightInd/>
      <w:spacing w:line="240" w:lineRule="auto"/>
      <w:jc w:val="both"/>
      <w:textAlignment w:val="auto"/>
    </w:pPr>
    <w:rPr>
      <w:kern w:val="2"/>
      <w:sz w:val="21"/>
      <w:szCs w:val="24"/>
    </w:rPr>
  </w:style>
  <w:style w:type="paragraph" w:customStyle="1" w:styleId="91">
    <w:name w:val="默认段落字体 Para Char Char Char Char"/>
    <w:basedOn w:val="1"/>
    <w:qFormat/>
    <w:uiPriority w:val="0"/>
    <w:pPr>
      <w:adjustRightInd/>
      <w:spacing w:line="240" w:lineRule="auto"/>
      <w:jc w:val="both"/>
      <w:textAlignment w:val="auto"/>
    </w:pPr>
    <w:rPr>
      <w:kern w:val="2"/>
      <w:sz w:val="21"/>
    </w:rPr>
  </w:style>
  <w:style w:type="paragraph" w:customStyle="1" w:styleId="92">
    <w:name w:val="ST20_1"/>
    <w:basedOn w:val="1"/>
    <w:next w:val="1"/>
    <w:qFormat/>
    <w:uiPriority w:val="0"/>
    <w:pPr>
      <w:keepNext/>
      <w:keepLines/>
      <w:numPr>
        <w:ilvl w:val="0"/>
        <w:numId w:val="2"/>
      </w:numPr>
      <w:tabs>
        <w:tab w:val="left" w:pos="907"/>
        <w:tab w:val="right" w:leader="dot" w:pos="8400"/>
      </w:tabs>
      <w:snapToGrid w:val="0"/>
      <w:spacing w:before="120" w:after="120" w:line="300" w:lineRule="auto"/>
      <w:ind w:left="907" w:hanging="510"/>
      <w:textAlignment w:val="auto"/>
    </w:pPr>
    <w:rPr>
      <w:rFonts w:ascii="Arial" w:hAnsi="Arial"/>
    </w:rPr>
  </w:style>
  <w:style w:type="paragraph" w:customStyle="1" w:styleId="93">
    <w:name w:val="_Style 12"/>
    <w:basedOn w:val="1"/>
    <w:qFormat/>
    <w:uiPriority w:val="0"/>
    <w:pPr>
      <w:adjustRightInd/>
      <w:spacing w:line="240" w:lineRule="auto"/>
      <w:jc w:val="both"/>
      <w:textAlignment w:val="auto"/>
    </w:pPr>
    <w:rPr>
      <w:kern w:val="2"/>
      <w:sz w:val="21"/>
    </w:rPr>
  </w:style>
  <w:style w:type="paragraph" w:customStyle="1" w:styleId="94">
    <w:name w:val="表格正文"/>
    <w:basedOn w:val="1"/>
    <w:qFormat/>
    <w:uiPriority w:val="0"/>
    <w:pPr>
      <w:spacing w:line="460" w:lineRule="exact"/>
    </w:pPr>
  </w:style>
  <w:style w:type="paragraph" w:customStyle="1" w:styleId="95">
    <w:name w:val="正文1"/>
    <w:qFormat/>
    <w:uiPriority w:val="0"/>
    <w:pPr>
      <w:widowControl w:val="0"/>
      <w:autoSpaceDE w:val="0"/>
      <w:autoSpaceDN w:val="0"/>
      <w:adjustRightInd w:val="0"/>
      <w:spacing w:line="360" w:lineRule="atLeast"/>
      <w:ind w:left="425" w:hanging="425"/>
      <w:textAlignment w:val="bottom"/>
    </w:pPr>
    <w:rPr>
      <w:rFonts w:ascii="宋体" w:hAnsi="Times New Roman" w:eastAsia="宋体" w:cs="Times New Roman"/>
      <w:position w:val="-6"/>
      <w:sz w:val="32"/>
      <w:lang w:val="en-US" w:eastAsia="zh-CN" w:bidi="ar-SA"/>
    </w:rPr>
  </w:style>
  <w:style w:type="paragraph" w:customStyle="1" w:styleId="96">
    <w:name w:val="样式2"/>
    <w:basedOn w:val="1"/>
    <w:qFormat/>
    <w:uiPriority w:val="0"/>
    <w:pPr>
      <w:spacing w:before="120" w:after="120" w:line="240" w:lineRule="auto"/>
      <w:jc w:val="center"/>
      <w:textAlignment w:val="bottom"/>
    </w:pPr>
    <w:rPr>
      <w:rFonts w:ascii="Arial" w:hAnsi="Arial"/>
      <w:spacing w:val="60"/>
    </w:rPr>
  </w:style>
  <w:style w:type="paragraph" w:customStyle="1" w:styleId="97">
    <w:name w:val="font5"/>
    <w:basedOn w:val="1"/>
    <w:qFormat/>
    <w:uiPriority w:val="0"/>
    <w:pPr>
      <w:widowControl/>
      <w:adjustRightInd/>
      <w:spacing w:before="100" w:beforeAutospacing="1" w:after="100" w:afterAutospacing="1" w:line="240" w:lineRule="auto"/>
      <w:textAlignment w:val="auto"/>
    </w:pPr>
    <w:rPr>
      <w:rFonts w:hint="eastAsia" w:ascii="宋体" w:hAnsi="宋体" w:cs="Arial Unicode MS"/>
      <w:sz w:val="18"/>
      <w:szCs w:val="18"/>
    </w:rPr>
  </w:style>
  <w:style w:type="paragraph" w:customStyle="1" w:styleId="98">
    <w:name w:val="表格侧编号"/>
    <w:next w:val="1"/>
    <w:qFormat/>
    <w:uiPriority w:val="0"/>
    <w:pPr>
      <w:widowControl w:val="0"/>
      <w:jc w:val="center"/>
    </w:pPr>
    <w:rPr>
      <w:rFonts w:ascii="宋体" w:hAnsi="宋体" w:eastAsia="宋体" w:cs="Times New Roman"/>
      <w:kern w:val="2"/>
      <w:sz w:val="24"/>
      <w:lang w:val="en-US" w:eastAsia="zh-CN" w:bidi="ar-SA"/>
    </w:rPr>
  </w:style>
  <w:style w:type="paragraph" w:customStyle="1" w:styleId="99">
    <w:name w:val="日期1"/>
    <w:basedOn w:val="1"/>
    <w:next w:val="1"/>
    <w:qFormat/>
    <w:uiPriority w:val="0"/>
    <w:pPr>
      <w:jc w:val="both"/>
    </w:pPr>
    <w:rPr>
      <w:rFonts w:ascii="宋体" w:eastAsia="Wingdings"/>
    </w:rPr>
  </w:style>
  <w:style w:type="paragraph" w:customStyle="1" w:styleId="100">
    <w:name w:val="英文标号正文"/>
    <w:basedOn w:val="1"/>
    <w:qFormat/>
    <w:uiPriority w:val="0"/>
    <w:pPr>
      <w:widowControl/>
      <w:autoSpaceDE w:val="0"/>
      <w:autoSpaceDN w:val="0"/>
      <w:adjustRightInd/>
      <w:spacing w:line="530" w:lineRule="exact"/>
      <w:jc w:val="both"/>
      <w:textAlignment w:val="auto"/>
    </w:pPr>
    <w:rPr>
      <w:rFonts w:eastAsia="仿宋_GB2312"/>
      <w:sz w:val="30"/>
    </w:rPr>
  </w:style>
  <w:style w:type="paragraph" w:customStyle="1" w:styleId="101">
    <w:name w:val="正文11"/>
    <w:basedOn w:val="1"/>
    <w:qFormat/>
    <w:uiPriority w:val="0"/>
    <w:rPr>
      <w:rFonts w:ascii="宋体"/>
    </w:rPr>
  </w:style>
  <w:style w:type="paragraph" w:customStyle="1" w:styleId="102">
    <w:name w:val="样式 标题 1章标题 1标题yjm1标题2章节标题b1H1-*+h11st levelSection Hea..."/>
    <w:basedOn w:val="2"/>
    <w:qFormat/>
    <w:uiPriority w:val="0"/>
    <w:pPr>
      <w:tabs>
        <w:tab w:val="left" w:pos="600"/>
      </w:tabs>
      <w:spacing w:beforeLines="50" w:afterLines="50" w:line="360" w:lineRule="auto"/>
      <w:ind w:left="600" w:hanging="420"/>
      <w:jc w:val="both"/>
    </w:pPr>
    <w:rPr>
      <w:rFonts w:ascii="Times New Roman" w:hAnsi="Times New Roman"/>
      <w:color w:val="auto"/>
      <w:sz w:val="30"/>
    </w:rPr>
  </w:style>
  <w:style w:type="paragraph" w:customStyle="1" w:styleId="103">
    <w:name w:val="(1)"/>
    <w:basedOn w:val="1"/>
    <w:qFormat/>
    <w:uiPriority w:val="0"/>
    <w:pPr>
      <w:tabs>
        <w:tab w:val="left" w:pos="573"/>
      </w:tabs>
      <w:snapToGrid w:val="0"/>
      <w:spacing w:before="80" w:after="100" w:line="240" w:lineRule="atLeast"/>
      <w:jc w:val="both"/>
    </w:pPr>
    <w:rPr>
      <w:rFonts w:ascii="Arial" w:hAnsi="Arial" w:eastAsia="黑体"/>
      <w:kern w:val="44"/>
      <w:szCs w:val="24"/>
    </w:rPr>
  </w:style>
  <w:style w:type="paragraph" w:customStyle="1" w:styleId="104">
    <w:name w:val="maopei"/>
    <w:basedOn w:val="40"/>
    <w:qFormat/>
    <w:uiPriority w:val="0"/>
    <w:pPr>
      <w:tabs>
        <w:tab w:val="left" w:pos="425"/>
      </w:tabs>
      <w:ind w:left="425" w:hanging="425"/>
    </w:pPr>
    <w:rPr>
      <w:color w:val="0000FF"/>
      <w:sz w:val="30"/>
    </w:rPr>
  </w:style>
  <w:style w:type="paragraph" w:customStyle="1" w:styleId="105">
    <w:name w:val="Char Char Char1"/>
    <w:basedOn w:val="1"/>
    <w:qFormat/>
    <w:uiPriority w:val="0"/>
    <w:pPr>
      <w:adjustRightInd/>
      <w:spacing w:beforeLines="100" w:line="240" w:lineRule="auto"/>
      <w:jc w:val="both"/>
      <w:textAlignment w:val="auto"/>
    </w:pPr>
    <w:rPr>
      <w:kern w:val="2"/>
      <w:sz w:val="21"/>
    </w:rPr>
  </w:style>
  <w:style w:type="paragraph" w:customStyle="1" w:styleId="106">
    <w:name w:val="Char2 Char Char Char"/>
    <w:basedOn w:val="1"/>
    <w:qFormat/>
    <w:uiPriority w:val="0"/>
    <w:pPr>
      <w:adjustRightInd/>
      <w:spacing w:line="240" w:lineRule="auto"/>
      <w:jc w:val="both"/>
      <w:textAlignment w:val="auto"/>
    </w:pPr>
    <w:rPr>
      <w:kern w:val="2"/>
      <w:sz w:val="21"/>
      <w:szCs w:val="24"/>
    </w:rPr>
  </w:style>
  <w:style w:type="paragraph" w:customStyle="1" w:styleId="107">
    <w:name w:val="1"/>
    <w:basedOn w:val="1"/>
    <w:next w:val="17"/>
    <w:qFormat/>
    <w:uiPriority w:val="0"/>
    <w:pPr>
      <w:adjustRightInd/>
      <w:spacing w:line="240" w:lineRule="auto"/>
      <w:jc w:val="center"/>
      <w:textAlignment w:val="auto"/>
    </w:pPr>
    <w:rPr>
      <w:color w:val="000000"/>
      <w:kern w:val="2"/>
      <w:sz w:val="21"/>
    </w:rPr>
  </w:style>
  <w:style w:type="paragraph" w:customStyle="1" w:styleId="108">
    <w:name w:val="Char1"/>
    <w:basedOn w:val="1"/>
    <w:qFormat/>
    <w:uiPriority w:val="0"/>
    <w:pPr>
      <w:adjustRightInd/>
      <w:spacing w:line="240" w:lineRule="auto"/>
      <w:jc w:val="both"/>
      <w:textAlignment w:val="auto"/>
    </w:pPr>
    <w:rPr>
      <w:kern w:val="2"/>
      <w:sz w:val="21"/>
      <w:szCs w:val="24"/>
    </w:rPr>
  </w:style>
  <w:style w:type="paragraph" w:customStyle="1" w:styleId="109">
    <w:name w:val="Char"/>
    <w:basedOn w:val="1"/>
    <w:qFormat/>
    <w:uiPriority w:val="0"/>
    <w:pPr>
      <w:adjustRightInd/>
      <w:spacing w:line="240" w:lineRule="auto"/>
      <w:jc w:val="both"/>
      <w:textAlignment w:val="auto"/>
    </w:pPr>
  </w:style>
  <w:style w:type="paragraph" w:customStyle="1" w:styleId="110">
    <w:name w:val="xl31"/>
    <w:basedOn w:val="1"/>
    <w:qFormat/>
    <w:uiPriority w:val="0"/>
    <w:pPr>
      <w:widowControl/>
      <w:pBdr>
        <w:bottom w:val="single" w:color="auto" w:sz="4" w:space="0"/>
        <w:right w:val="single" w:color="auto" w:sz="4" w:space="0"/>
      </w:pBdr>
      <w:adjustRightInd/>
      <w:spacing w:before="100" w:beforeAutospacing="1" w:after="100" w:afterAutospacing="1" w:line="240" w:lineRule="auto"/>
      <w:jc w:val="both"/>
      <w:textAlignment w:val="center"/>
    </w:pPr>
    <w:rPr>
      <w:rFonts w:hint="eastAsia" w:ascii="华文细黑" w:hAnsi="华文细黑" w:eastAsia="华文细黑"/>
      <w:b/>
      <w:color w:val="000000"/>
    </w:rPr>
  </w:style>
  <w:style w:type="paragraph" w:customStyle="1" w:styleId="111">
    <w:name w:val="A"/>
    <w:basedOn w:val="1"/>
    <w:qFormat/>
    <w:uiPriority w:val="0"/>
    <w:pPr>
      <w:spacing w:line="480" w:lineRule="atLeast"/>
      <w:jc w:val="center"/>
    </w:pPr>
    <w:rPr>
      <w:rFonts w:ascii="宋体"/>
      <w:sz w:val="32"/>
    </w:rPr>
  </w:style>
  <w:style w:type="paragraph" w:customStyle="1" w:styleId="112">
    <w:name w:val="正文3"/>
    <w:qFormat/>
    <w:uiPriority w:val="0"/>
    <w:pPr>
      <w:tabs>
        <w:tab w:val="left" w:pos="1211"/>
      </w:tabs>
      <w:spacing w:line="360" w:lineRule="auto"/>
      <w:ind w:left="1191" w:hanging="340"/>
    </w:pPr>
    <w:rPr>
      <w:rFonts w:ascii="Times New Roman" w:hAnsi="Times New Roman" w:eastAsia="宋体" w:cs="Times New Roman"/>
      <w:sz w:val="24"/>
      <w:lang w:val="en-US" w:eastAsia="zh-CN" w:bidi="ar-SA"/>
    </w:rPr>
  </w:style>
  <w:style w:type="paragraph" w:customStyle="1" w:styleId="113">
    <w:name w:val="Char Char Char Char Char Char1"/>
    <w:basedOn w:val="1"/>
    <w:qFormat/>
    <w:uiPriority w:val="0"/>
    <w:pPr>
      <w:adjustRightInd/>
      <w:spacing w:beforeLines="100" w:line="240" w:lineRule="auto"/>
      <w:jc w:val="both"/>
      <w:textAlignment w:val="auto"/>
    </w:pPr>
    <w:rPr>
      <w:kern w:val="2"/>
      <w:sz w:val="21"/>
    </w:rPr>
  </w:style>
  <w:style w:type="paragraph" w:customStyle="1" w:styleId="114">
    <w:name w:val="Char3"/>
    <w:basedOn w:val="1"/>
    <w:qFormat/>
    <w:uiPriority w:val="0"/>
    <w:pPr>
      <w:adjustRightInd/>
      <w:spacing w:line="240" w:lineRule="auto"/>
      <w:jc w:val="both"/>
      <w:textAlignment w:val="auto"/>
    </w:pPr>
    <w:rPr>
      <w:kern w:val="2"/>
      <w:sz w:val="21"/>
      <w:szCs w:val="24"/>
    </w:rPr>
  </w:style>
  <w:style w:type="paragraph" w:customStyle="1" w:styleId="115">
    <w:name w:val="_Style 84"/>
    <w:basedOn w:val="1"/>
    <w:qFormat/>
    <w:uiPriority w:val="0"/>
    <w:pPr>
      <w:adjustRightInd/>
      <w:spacing w:line="240" w:lineRule="auto"/>
      <w:ind w:left="-48"/>
      <w:jc w:val="both"/>
      <w:textAlignment w:val="auto"/>
    </w:pPr>
    <w:rPr>
      <w:kern w:val="2"/>
      <w:sz w:val="21"/>
      <w:szCs w:val="24"/>
    </w:rPr>
  </w:style>
  <w:style w:type="paragraph" w:customStyle="1" w:styleId="116">
    <w:name w:val="Char Char1 Char Char Char Char"/>
    <w:basedOn w:val="1"/>
    <w:qFormat/>
    <w:uiPriority w:val="0"/>
    <w:pPr>
      <w:adjustRightInd/>
      <w:spacing w:line="240" w:lineRule="auto"/>
      <w:ind w:left="-48"/>
      <w:jc w:val="both"/>
      <w:textAlignment w:val="auto"/>
    </w:pPr>
    <w:rPr>
      <w:kern w:val="2"/>
      <w:sz w:val="21"/>
      <w:szCs w:val="24"/>
    </w:rPr>
  </w:style>
  <w:style w:type="paragraph" w:customStyle="1" w:styleId="117">
    <w:name w:val="Default"/>
    <w:qFormat/>
    <w:uiPriority w:val="0"/>
    <w:pPr>
      <w:widowControl w:val="0"/>
      <w:autoSpaceDE w:val="0"/>
      <w:autoSpaceDN w:val="0"/>
      <w:adjustRightInd w:val="0"/>
    </w:pPr>
    <w:rPr>
      <w:rFonts w:ascii="宋体" w:hAnsi="Times New Roman" w:eastAsia="宋体" w:cs="Times New Roman"/>
      <w:color w:val="000000"/>
      <w:sz w:val="24"/>
      <w:szCs w:val="22"/>
      <w:lang w:val="en-US" w:eastAsia="zh-CN" w:bidi="ar-SA"/>
    </w:rPr>
  </w:style>
  <w:style w:type="character" w:customStyle="1" w:styleId="118">
    <w:name w:val="font11"/>
    <w:basedOn w:val="44"/>
    <w:qFormat/>
    <w:uiPriority w:val="0"/>
    <w:rPr>
      <w:rFonts w:hint="eastAsia" w:ascii="宋体" w:hAnsi="宋体" w:eastAsia="宋体"/>
      <w:color w:val="000000"/>
      <w:sz w:val="24"/>
      <w:szCs w:val="24"/>
      <w:u w:val="none"/>
    </w:rPr>
  </w:style>
  <w:style w:type="character" w:customStyle="1" w:styleId="119">
    <w:name w:val="font51"/>
    <w:basedOn w:val="44"/>
    <w:qFormat/>
    <w:uiPriority w:val="0"/>
    <w:rPr>
      <w:rFonts w:hint="default" w:ascii="Times New Roman" w:hAnsi="Times New Roman" w:cs="Times New Roman"/>
      <w:color w:val="000000"/>
      <w:sz w:val="24"/>
      <w:szCs w:val="24"/>
      <w:u w:val="none"/>
    </w:rPr>
  </w:style>
  <w:style w:type="character" w:customStyle="1" w:styleId="120">
    <w:name w:val="font01"/>
    <w:basedOn w:val="44"/>
    <w:qFormat/>
    <w:uiPriority w:val="0"/>
    <w:rPr>
      <w:rFonts w:hint="eastAsia" w:ascii="宋体" w:hAnsi="宋体" w:eastAsia="宋体"/>
      <w:color w:val="000000"/>
      <w:sz w:val="24"/>
      <w:szCs w:val="24"/>
      <w:u w:val="none"/>
      <w:vertAlign w:val="superscript"/>
    </w:rPr>
  </w:style>
  <w:style w:type="character" w:customStyle="1" w:styleId="121">
    <w:name w:val="font31"/>
    <w:basedOn w:val="44"/>
    <w:qFormat/>
    <w:uiPriority w:val="0"/>
    <w:rPr>
      <w:rFonts w:hint="eastAsia" w:ascii="宋体" w:hAnsi="宋体" w:eastAsia="宋体"/>
      <w:color w:val="000000"/>
      <w:sz w:val="24"/>
      <w:szCs w:val="24"/>
      <w:u w:val="none"/>
    </w:rPr>
  </w:style>
  <w:style w:type="paragraph" w:customStyle="1" w:styleId="122">
    <w:name w:val="正文2"/>
    <w:qFormat/>
    <w:uiPriority w:val="0"/>
    <w:pPr>
      <w:jc w:val="both"/>
    </w:pPr>
    <w:rPr>
      <w:rFonts w:ascii="Times New Roman" w:hAnsi="Times New Roman" w:eastAsia="宋体" w:cs="Times New Roman"/>
      <w:kern w:val="2"/>
      <w:sz w:val="21"/>
      <w:szCs w:val="21"/>
      <w:lang w:val="en-US" w:eastAsia="zh-CN" w:bidi="ar-SA"/>
    </w:rPr>
  </w:style>
  <w:style w:type="paragraph" w:customStyle="1" w:styleId="123">
    <w:name w:val="Normal_1"/>
    <w:next w:val="15"/>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4">
    <w:name w:val="Normal_3_0"/>
    <w:next w:val="123"/>
    <w:autoRedefine/>
    <w:qFormat/>
    <w:uiPriority w:val="0"/>
    <w:pPr>
      <w:widowControl w:val="0"/>
      <w:adjustRightInd w:val="0"/>
      <w:spacing w:line="360" w:lineRule="auto"/>
      <w:ind w:firstLine="480" w:firstLineChars="200"/>
      <w:textAlignment w:val="baseline"/>
    </w:pPr>
    <w:rPr>
      <w:rFonts w:ascii="Times New Roman" w:hAnsi="Times New Roman" w:eastAsia="宋体" w:cs="Times New Roman"/>
      <w:sz w:val="24"/>
      <w:lang w:val="en-US" w:eastAsia="zh-CN" w:bidi="ar-SA"/>
    </w:rPr>
  </w:style>
  <w:style w:type="paragraph" w:customStyle="1" w:styleId="125">
    <w:name w:val="修订1"/>
    <w:hidden/>
    <w:semiHidden/>
    <w:qFormat/>
    <w:uiPriority w:val="99"/>
    <w:rPr>
      <w:rFonts w:ascii="Times New Roman" w:hAnsi="Times New Roman" w:eastAsia="宋体" w:cs="Times New Roman"/>
      <w:sz w:val="24"/>
      <w:lang w:val="en-US" w:eastAsia="zh-CN" w:bidi="ar-SA"/>
    </w:rPr>
  </w:style>
  <w:style w:type="paragraph" w:customStyle="1" w:styleId="126">
    <w:name w:val="Revision"/>
    <w:hidden/>
    <w:unhideWhenUsed/>
    <w:qFormat/>
    <w:uiPriority w:val="99"/>
    <w:rPr>
      <w:rFonts w:ascii="Times New Roman" w:hAnsi="Times New Roman" w:eastAsia="宋体" w:cs="Times New Roman"/>
      <w:sz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theme" Target="theme/theme1.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36</Pages>
  <Words>15653</Words>
  <Characters>17236</Characters>
  <Lines>901</Lines>
  <Paragraphs>801</Paragraphs>
  <TotalTime>0</TotalTime>
  <ScaleCrop>false</ScaleCrop>
  <LinksUpToDate>false</LinksUpToDate>
  <CharactersWithSpaces>17520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2026-05-20T21:05:00Z</dcterms:created>
  <dc:creator>ZXY</dc:creator>
  <cp:lastModifiedBy>NTKO</cp:lastModifiedBy>
  <dcterms:modified xsi:type="dcterms:W3CDTF">2026-07-13T01:37:55Z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B9FA64290210C57D6B60326A05EF9B39_43</vt:lpwstr>
  </property>
  <property fmtid="{D5CDD505-2E9C-101B-9397-08002B2CF9AE}" pid="4" name="KSOTemplateDocerSaveRecord">
    <vt:lpwstr>eyJoZGlkIjoiODAzNzFmNmVkMzZjNTliNzZlMzVlZDVhOWM2MWI5ZDQiLCJ1c2VySWQiOiIxNTcwMjg4MTAxIn0=</vt:lpwstr>
  </property>
</Properties>
</file>